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4E6C9F">
            <w:pPr>
              <w:framePr w:hSpace="180" w:wrap="auto" w:vAnchor="page" w:hAnchor="margin" w:x="358" w:y="905"/>
              <w:rPr>
                <w:sz w:val="28"/>
                <w:szCs w:val="28"/>
              </w:rPr>
            </w:pPr>
            <w:r w:rsidRPr="00207827">
              <w:rPr>
                <w:szCs w:val="24"/>
              </w:rPr>
              <w:t>«</w:t>
            </w:r>
            <w:r w:rsidR="004E6C9F">
              <w:rPr>
                <w:szCs w:val="24"/>
              </w:rPr>
              <w:t>15</w:t>
            </w:r>
            <w:r w:rsidRPr="00207827">
              <w:rPr>
                <w:szCs w:val="24"/>
              </w:rPr>
              <w:t xml:space="preserve">» </w:t>
            </w:r>
            <w:r w:rsidR="004C6C12">
              <w:rPr>
                <w:szCs w:val="24"/>
              </w:rPr>
              <w:t xml:space="preserve"> </w:t>
            </w:r>
            <w:r w:rsidR="004E6C9F">
              <w:rPr>
                <w:szCs w:val="24"/>
              </w:rPr>
              <w:t xml:space="preserve">апреля </w:t>
            </w:r>
            <w:r w:rsidRPr="00207827">
              <w:rPr>
                <w:szCs w:val="24"/>
              </w:rPr>
              <w:t xml:space="preserve"> </w:t>
            </w:r>
            <w:r>
              <w:rPr>
                <w:szCs w:val="24"/>
              </w:rPr>
              <w:t>202</w:t>
            </w:r>
            <w:r w:rsidR="004E6C9F">
              <w:rPr>
                <w:szCs w:val="24"/>
              </w:rPr>
              <w:t>2</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72342E">
            <w:pPr>
              <w:framePr w:hSpace="180" w:wrap="auto" w:vAnchor="page" w:hAnchor="margin" w:x="358" w:y="905"/>
              <w:rPr>
                <w:szCs w:val="24"/>
              </w:rPr>
            </w:pPr>
            <w:r>
              <w:rPr>
                <w:szCs w:val="24"/>
              </w:rPr>
              <w:t>АО «РЕГИОН ЭсМ»</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4E6C9F">
            <w:pPr>
              <w:framePr w:hSpace="180" w:wrap="auto" w:vAnchor="page" w:hAnchor="margin" w:x="358" w:y="905"/>
              <w:tabs>
                <w:tab w:val="left" w:pos="2722"/>
              </w:tabs>
              <w:rPr>
                <w:szCs w:val="24"/>
              </w:rPr>
            </w:pPr>
            <w:r w:rsidRPr="00207827">
              <w:rPr>
                <w:szCs w:val="24"/>
              </w:rPr>
              <w:t>«</w:t>
            </w:r>
            <w:r w:rsidR="004E6C9F">
              <w:rPr>
                <w:szCs w:val="24"/>
              </w:rPr>
              <w:t>15</w:t>
            </w:r>
            <w:r w:rsidR="00AF5515" w:rsidRPr="00207827">
              <w:rPr>
                <w:szCs w:val="24"/>
              </w:rPr>
              <w:t xml:space="preserve">» </w:t>
            </w:r>
            <w:r w:rsidR="00946B5D">
              <w:rPr>
                <w:szCs w:val="24"/>
              </w:rPr>
              <w:t>а</w:t>
            </w:r>
            <w:r w:rsidR="004E6C9F">
              <w:rPr>
                <w:szCs w:val="24"/>
              </w:rPr>
              <w:t xml:space="preserve">преля </w:t>
            </w:r>
            <w:r w:rsidR="0083360D">
              <w:rPr>
                <w:szCs w:val="24"/>
              </w:rPr>
              <w:t xml:space="preserve"> </w:t>
            </w:r>
            <w:r w:rsidR="0083360D" w:rsidRPr="00207827">
              <w:rPr>
                <w:szCs w:val="24"/>
              </w:rPr>
              <w:t xml:space="preserve"> </w:t>
            </w:r>
            <w:r w:rsidR="00F115D7">
              <w:rPr>
                <w:szCs w:val="24"/>
              </w:rPr>
              <w:t>202</w:t>
            </w:r>
            <w:r w:rsidR="004E6C9F">
              <w:rPr>
                <w:szCs w:val="24"/>
              </w:rPr>
              <w:t>2</w:t>
            </w:r>
            <w:r w:rsidR="00781DD6">
              <w:rPr>
                <w:szCs w:val="24"/>
              </w:rPr>
              <w:t xml:space="preserve"> </w:t>
            </w:r>
            <w:r w:rsidR="00AD7AEA" w:rsidRPr="00207827">
              <w:rPr>
                <w:szCs w:val="24"/>
              </w:rPr>
              <w:t>г.</w:t>
            </w:r>
            <w:r w:rsidR="00AD7AEA" w:rsidRPr="00207827">
              <w:rPr>
                <w:szCs w:val="24"/>
              </w:rPr>
              <w:tab/>
            </w:r>
          </w:p>
        </w:tc>
      </w:tr>
    </w:tbl>
    <w:p w:rsidR="00484282" w:rsidRPr="00207827" w:rsidRDefault="00484282" w:rsidP="0072342E">
      <w:pPr>
        <w:ind w:left="360"/>
        <w:rPr>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906E53" w:rsidRPr="00207827" w:rsidRDefault="00906E53" w:rsidP="00906E53">
      <w:pPr>
        <w:ind w:left="360"/>
        <w:rPr>
          <w:sz w:val="28"/>
          <w:szCs w:val="28"/>
        </w:rPr>
      </w:pPr>
    </w:p>
    <w:p w:rsidR="00EC5B37" w:rsidRPr="006D7089" w:rsidRDefault="00EC5B37" w:rsidP="0072342E">
      <w:pPr>
        <w:ind w:left="360"/>
        <w:rPr>
          <w:sz w:val="28"/>
          <w:szCs w:val="28"/>
        </w:rPr>
      </w:pPr>
    </w:p>
    <w:p w:rsidR="00A831A0" w:rsidRPr="00207827" w:rsidRDefault="00A831A0" w:rsidP="0072342E">
      <w:pPr>
        <w:ind w:left="360"/>
        <w:rPr>
          <w:sz w:val="28"/>
          <w:szCs w:val="28"/>
        </w:rPr>
      </w:pPr>
    </w:p>
    <w:p w:rsidR="00484282" w:rsidRPr="00207827" w:rsidRDefault="00484282" w:rsidP="0072342E">
      <w:pPr>
        <w:ind w:left="360"/>
        <w:rPr>
          <w:sz w:val="28"/>
          <w:szCs w:val="28"/>
        </w:rPr>
      </w:pPr>
    </w:p>
    <w:p w:rsidR="00484282" w:rsidRPr="00207827" w:rsidRDefault="00484282" w:rsidP="0072342E">
      <w:pPr>
        <w:jc w:val="center"/>
        <w:rPr>
          <w:b/>
          <w:bCs/>
          <w:sz w:val="34"/>
          <w:szCs w:val="34"/>
        </w:rPr>
      </w:pPr>
      <w:r w:rsidRPr="00207827">
        <w:rPr>
          <w:b/>
          <w:bCs/>
          <w:sz w:val="34"/>
          <w:szCs w:val="34"/>
        </w:rPr>
        <w:t>ПРАВИЛА</w:t>
      </w:r>
    </w:p>
    <w:p w:rsidR="00E67D84" w:rsidRPr="00287F00" w:rsidRDefault="00E67D84" w:rsidP="0072342E">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72342E">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337DBE">
        <w:rPr>
          <w:b/>
          <w:bCs/>
          <w:sz w:val="32"/>
          <w:szCs w:val="32"/>
        </w:rPr>
        <w:t>Атлант</w:t>
      </w:r>
      <w:r w:rsidR="00337DBE" w:rsidRPr="00B602F2">
        <w:rPr>
          <w:b/>
          <w:bCs/>
          <w:sz w:val="32"/>
          <w:szCs w:val="32"/>
        </w:rPr>
        <w:t>»</w:t>
      </w:r>
    </w:p>
    <w:p w:rsidR="00484282" w:rsidRPr="00B602F2" w:rsidRDefault="00484282" w:rsidP="0072342E">
      <w:pPr>
        <w:ind w:left="-284" w:right="-284"/>
        <w:jc w:val="center"/>
        <w:rPr>
          <w:b/>
          <w:bCs/>
          <w:sz w:val="32"/>
          <w:szCs w:val="32"/>
        </w:rPr>
      </w:pPr>
      <w:r w:rsidRPr="00B602F2">
        <w:rPr>
          <w:b/>
          <w:bCs/>
          <w:sz w:val="32"/>
          <w:szCs w:val="32"/>
        </w:rPr>
        <w:t xml:space="preserve"> </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DF7B1B" w:rsidRDefault="00DF7B1B" w:rsidP="0072342E"/>
    <w:p w:rsidR="00DF7B1B" w:rsidRDefault="00DF7B1B" w:rsidP="0072342E"/>
    <w:p w:rsidR="00DF7B1B" w:rsidRDefault="00DF7B1B" w:rsidP="0072342E"/>
    <w:p w:rsidR="00DF7B1B" w:rsidRDefault="00DF7B1B" w:rsidP="0072342E"/>
    <w:p w:rsidR="00532BF0" w:rsidRDefault="00532BF0" w:rsidP="0072342E"/>
    <w:p w:rsidR="00532BF0" w:rsidRDefault="00532BF0" w:rsidP="0072342E"/>
    <w:p w:rsidR="00532BF0" w:rsidRDefault="00532BF0" w:rsidP="0072342E"/>
    <w:p w:rsidR="00532BF0" w:rsidRDefault="00532BF0" w:rsidP="0072342E"/>
    <w:p w:rsidR="00532BF0" w:rsidRDefault="00532BF0" w:rsidP="0072342E"/>
    <w:p w:rsidR="00532BF0" w:rsidRDefault="00532BF0" w:rsidP="0072342E"/>
    <w:p w:rsidR="00532BF0" w:rsidRDefault="00532BF0" w:rsidP="0072342E"/>
    <w:p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«Атлант»</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156D6">
        <w:rPr>
          <w:rFonts w:ascii="Times New Roman" w:hAnsi="Times New Roman"/>
          <w:sz w:val="24"/>
          <w:szCs w:val="24"/>
        </w:rPr>
        <w:t xml:space="preserve">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4E6C9F" w:rsidRDefault="008068EC" w:rsidP="0072342E">
      <w:pPr>
        <w:pStyle w:val="a0"/>
      </w:pPr>
      <w:r w:rsidRPr="004E6C9F">
        <w:t xml:space="preserve">Правила определения СЧА </w:t>
      </w:r>
      <w:r w:rsidR="0042481A" w:rsidRPr="004E6C9F">
        <w:t xml:space="preserve">в настоящей редакции </w:t>
      </w:r>
      <w:r w:rsidRPr="004E6C9F">
        <w:t xml:space="preserve">применяются </w:t>
      </w:r>
      <w:r w:rsidR="0042481A" w:rsidRPr="004E6C9F">
        <w:t xml:space="preserve">с </w:t>
      </w:r>
      <w:r w:rsidR="004E6C9F" w:rsidRPr="004E6C9F">
        <w:t xml:space="preserve">29 апреля  </w:t>
      </w:r>
      <w:r w:rsidR="00EC149B" w:rsidRPr="004E6C9F">
        <w:t xml:space="preserve"> </w:t>
      </w:r>
      <w:r w:rsidR="0042481A" w:rsidRPr="004E6C9F">
        <w:t>20</w:t>
      </w:r>
      <w:r w:rsidR="00EC149B" w:rsidRPr="004E6C9F">
        <w:t>2</w:t>
      </w:r>
      <w:r w:rsidR="004E6C9F" w:rsidRPr="004E6C9F">
        <w:t>2</w:t>
      </w:r>
      <w:r w:rsidR="0042481A" w:rsidRPr="004E6C9F">
        <w:t>г.</w:t>
      </w:r>
      <w:r w:rsidRPr="004E6C9F">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2" w:name="_Toc66447209"/>
      <w:bookmarkStart w:id="3" w:name="_Toc74043289"/>
      <w:r w:rsidRPr="001E75BD">
        <w:rPr>
          <w:rStyle w:val="16"/>
          <w:b/>
        </w:rPr>
        <w:t>Критерии признания (прекращения признания) активов (обязательств)</w:t>
      </w:r>
      <w:bookmarkEnd w:id="2"/>
      <w:bookmarkEnd w:id="3"/>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4" w:name="_Toc66447210"/>
      <w:bookmarkStart w:id="5" w:name="_Toc74043290"/>
      <w:r w:rsidRPr="00772793">
        <w:rPr>
          <w:rStyle w:val="16"/>
          <w:b/>
        </w:rPr>
        <w:t>Методы определения стоимости активов и величин обязательств</w:t>
      </w:r>
      <w:bookmarkEnd w:id="4"/>
      <w:bookmarkEnd w:id="5"/>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6" w:name="_Toc66447211"/>
      <w:bookmarkStart w:id="7" w:name="_Toc74043291"/>
      <w:r w:rsidRPr="006C177A">
        <w:rPr>
          <w:rStyle w:val="16"/>
          <w:b/>
        </w:rPr>
        <w:t>Порядок конвертации стоимостей, выраженных в одной валюте, в другую валюту.</w:t>
      </w:r>
      <w:bookmarkEnd w:id="6"/>
      <w:bookmarkEnd w:id="7"/>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8" w:name="_Toc66447212"/>
      <w:bookmarkStart w:id="9"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8"/>
      <w:bookmarkEnd w:id="9"/>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35pt;height:31.9pt" o:ole="">
            <v:imagedata r:id="rId9" o:title=""/>
          </v:shape>
          <o:OLEObject Type="Embed" ProgID="Equation.3" ShapeID="_x0000_i1025" DrawAspect="Content" ObjectID="_1711543732"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9.25pt;height:16.45pt" o:ole="">
            <v:imagedata r:id="rId11" o:title=""/>
          </v:shape>
          <o:OLEObject Type="Embed" ProgID="Equation.3" ShapeID="_x0000_i1026" DrawAspect="Content" ObjectID="_1711543733"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35pt;height:12.35pt" o:ole="">
            <v:imagedata r:id="rId13" o:title=""/>
          </v:shape>
          <o:OLEObject Type="Embed" ProgID="Equation.3" ShapeID="_x0000_i1027" DrawAspect="Content" ObjectID="_1711543734"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19.55pt" o:ole="">
            <v:imagedata r:id="rId15" o:title=""/>
          </v:shape>
          <o:OLEObject Type="Embed" ProgID="Equation.3" ShapeID="_x0000_i1028" DrawAspect="Content" ObjectID="_1711543735"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35pt;height:19.55pt" o:ole="">
            <v:imagedata r:id="rId17" o:title=""/>
          </v:shape>
          <o:OLEObject Type="Embed" ProgID="Equation.3" ShapeID="_x0000_i1029" DrawAspect="Content" ObjectID="_1711543736"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7pt;height:46.3pt" o:ole="">
            <v:imagedata r:id="rId19" o:title=""/>
          </v:shape>
          <o:OLEObject Type="Embed" ProgID="Equation.3" ShapeID="_x0000_i1030" DrawAspect="Content" ObjectID="_1711543737"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6.3pt;height:19.55pt" o:ole="">
            <v:imagedata r:id="rId21" o:title=""/>
          </v:shape>
          <o:OLEObject Type="Embed" ProgID="Equation.3" ShapeID="_x0000_i1031" DrawAspect="Content" ObjectID="_1711543738"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65pt;height:19.55pt" o:ole="">
            <v:imagedata r:id="rId23" o:title=""/>
          </v:shape>
          <o:OLEObject Type="Embed" ProgID="Equation.3" ShapeID="_x0000_i1032" DrawAspect="Content" ObjectID="_1711543739"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9.25pt;height:9.25pt" o:ole="">
            <v:imagedata r:id="rId25" o:title=""/>
          </v:shape>
          <o:OLEObject Type="Embed" ProgID="Equation.3" ShapeID="_x0000_i1033" DrawAspect="Content" ObjectID="_1711543740"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65pt;height:20.55pt" o:ole="">
            <v:imagedata r:id="rId27" o:title=""/>
          </v:shape>
          <o:OLEObject Type="Embed" ProgID="Equation.3" ShapeID="_x0000_i1034" DrawAspect="Content" ObjectID="_1711543741"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65pt;height:23.65pt" o:ole="">
            <v:imagedata r:id="rId29" o:title=""/>
          </v:shape>
          <o:OLEObject Type="Embed" ProgID="Equation.3" ShapeID="_x0000_i1035" DrawAspect="Content" ObjectID="_1711543742"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4.4pt;height:19.55pt" o:ole="">
            <v:imagedata r:id="rId31" o:title=""/>
          </v:shape>
          <o:OLEObject Type="Embed" ProgID="Equation.3" ShapeID="_x0000_i1036" DrawAspect="Content" ObjectID="_1711543743"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5pt;height:31.9pt" o:ole="">
                  <v:imagedata r:id="rId33" o:title=""/>
                </v:shape>
                <o:OLEObject Type="Embed" ProgID="Equation.3" ShapeID="_x0000_i1038" DrawAspect="Content" ObjectID="_1711543744"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35pt;height:19.55pt" o:ole="">
            <v:imagedata r:id="rId35" o:title=""/>
          </v:shape>
          <o:OLEObject Type="Embed" ProgID="Equation.3" ShapeID="_x0000_i1039" DrawAspect="Content" ObjectID="_1711543745"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19.55pt" o:ole="">
            <v:imagedata r:id="rId37" o:title=""/>
          </v:shape>
          <o:OLEObject Type="Embed" ProgID="Equation.3" ShapeID="_x0000_i1040" DrawAspect="Content" ObjectID="_1711543746"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1.15pt;height:52.45pt" o:ole="">
            <v:imagedata r:id="rId39" o:title=""/>
          </v:shape>
          <o:OLEObject Type="Embed" ProgID="Equation.3" ShapeID="_x0000_i1041" DrawAspect="Content" ObjectID="_1711543747"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4.4pt;height:19.55pt" o:ole="">
            <v:imagedata r:id="rId41" o:title=""/>
          </v:shape>
          <o:OLEObject Type="Embed" ProgID="Equation.3" ShapeID="_x0000_i1042" DrawAspect="Content" ObjectID="_1711543748"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35pt;height:19.55pt" o:ole="">
            <v:imagedata r:id="rId43" o:title=""/>
          </v:shape>
          <o:OLEObject Type="Embed" ProgID="Equation.3" ShapeID="_x0000_i1043" DrawAspect="Content" ObjectID="_1711543749"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35pt;height:12.35pt" o:ole="">
            <v:imagedata r:id="rId13" o:title=""/>
          </v:shape>
          <o:OLEObject Type="Embed" ProgID="Equation.3" ShapeID="_x0000_i1044" DrawAspect="Content" ObjectID="_1711543750"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35pt;height:19.55pt" o:ole="">
            <v:imagedata r:id="rId46" o:title=""/>
          </v:shape>
          <o:OLEObject Type="Embed" ProgID="Equation.3" ShapeID="_x0000_i1045" DrawAspect="Content" ObjectID="_1711543751"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35pt;height:19.55pt" o:ole="">
            <v:imagedata r:id="rId43" o:title=""/>
          </v:shape>
          <o:OLEObject Type="Embed" ProgID="Equation.3" ShapeID="_x0000_i1046" DrawAspect="Content" ObjectID="_1711543752"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35pt;height:19.55pt" o:ole="">
            <v:imagedata r:id="rId46" o:title=""/>
          </v:shape>
          <o:OLEObject Type="Embed" ProgID="Equation.3" ShapeID="_x0000_i1047" DrawAspect="Content" ObjectID="_1711543753"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35pt;height:19.55pt" o:ole="">
            <v:imagedata r:id="rId43" o:title=""/>
          </v:shape>
          <o:OLEObject Type="Embed" ProgID="Equation.3" ShapeID="_x0000_i1048" DrawAspect="Content" ObjectID="_1711543754"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29.85pt;height:19.55pt" o:ole="">
            <v:imagedata r:id="rId51" o:title=""/>
          </v:shape>
          <o:OLEObject Type="Embed" ProgID="Equation.3" ShapeID="_x0000_i1049" DrawAspect="Content" ObjectID="_1711543755"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6.45pt" o:ole="">
            <v:imagedata r:id="rId53" o:title=""/>
          </v:shape>
          <o:OLEObject Type="Embed" ProgID="Equation.3" ShapeID="_x0000_i1050" DrawAspect="Content" ObjectID="_1711543756"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35pt;height:19.55pt" o:ole="">
            <v:imagedata r:id="rId43" o:title=""/>
          </v:shape>
          <o:OLEObject Type="Embed" ProgID="Equation.3" ShapeID="_x0000_i1051" DrawAspect="Content" ObjectID="_1711543757"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55pt;height:131.65pt" o:ole="">
            <v:imagedata r:id="rId56" o:title=""/>
          </v:shape>
          <o:OLEObject Type="Embed" ProgID="Equation.3" ShapeID="_x0000_i1052" DrawAspect="Content" ObjectID="_1711543758"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4pt;height:19.55pt" o:ole="">
            <v:imagedata r:id="rId58" o:title=""/>
          </v:shape>
          <o:OLEObject Type="Embed" ProgID="Equation.3" ShapeID="_x0000_i1053" DrawAspect="Content" ObjectID="_1711543759"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65pt;height:19.55pt" o:ole="">
            <v:imagedata r:id="rId60" o:title=""/>
          </v:shape>
          <o:OLEObject Type="Embed" ProgID="Equation.3" ShapeID="_x0000_i1054" DrawAspect="Content" ObjectID="_1711543760"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29.85pt;height:32.9pt" o:ole="">
            <v:imagedata r:id="rId62" o:title=""/>
          </v:shape>
          <o:OLEObject Type="Embed" ProgID="Equation.3" ShapeID="_x0000_i1055" DrawAspect="Content" ObjectID="_1711543761"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9.25pt;height:9.25pt" o:ole="">
            <v:imagedata r:id="rId25" o:title=""/>
          </v:shape>
          <o:OLEObject Type="Embed" ProgID="Equation.3" ShapeID="_x0000_i1056" DrawAspect="Content" ObjectID="_1711543762"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65pt;height:20.55pt" o:ole="">
            <v:imagedata r:id="rId27" o:title=""/>
          </v:shape>
          <o:OLEObject Type="Embed" ProgID="Equation.3" ShapeID="_x0000_i1057" DrawAspect="Content" ObjectID="_1711543763"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35pt;height:19.55pt" o:ole="">
            <v:imagedata r:id="rId46" o:title=""/>
          </v:shape>
          <o:OLEObject Type="Embed" ProgID="Equation.3" ShapeID="_x0000_i1058" DrawAspect="Content" ObjectID="_1711543764"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65pt;height:23.65pt" o:ole="">
            <v:imagedata r:id="rId29" o:title=""/>
          </v:shape>
          <o:OLEObject Type="Embed" ProgID="Equation.3" ShapeID="_x0000_i1059" DrawAspect="Content" ObjectID="_1711543765"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35pt;height:19.55pt" o:ole="">
            <v:imagedata r:id="rId46" o:title=""/>
          </v:shape>
          <o:OLEObject Type="Embed" ProgID="Equation.3" ShapeID="_x0000_i1060" DrawAspect="Content" ObjectID="_1711543766"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4.4pt;height:19.55pt" o:ole="">
            <v:imagedata r:id="rId31" o:title=""/>
          </v:shape>
          <o:OLEObject Type="Embed" ProgID="Equation.3" ShapeID="_x0000_i1061" DrawAspect="Content" ObjectID="_1711543767"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35pt;height:19.55pt" o:ole="">
            <v:imagedata r:id="rId46" o:title=""/>
          </v:shape>
          <o:OLEObject Type="Embed" ProgID="Equation.3" ShapeID="_x0000_i1062" DrawAspect="Content" ObjectID="_1711543768"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6.45pt;height:19.55pt" o:ole="">
            <v:imagedata r:id="rId71" o:title=""/>
          </v:shape>
          <o:OLEObject Type="Embed" ProgID="Equation.3" ShapeID="_x0000_i1063" DrawAspect="Content" ObjectID="_1711543769"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4.4pt;height:19.55pt" o:ole="">
            <v:imagedata r:id="rId31" o:title=""/>
          </v:shape>
          <o:OLEObject Type="Embed" ProgID="Equation.3" ShapeID="_x0000_i1064" DrawAspect="Content" ObjectID="_1711543770"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35pt;height:19.55pt" o:ole="">
            <v:imagedata r:id="rId46" o:title=""/>
          </v:shape>
          <o:OLEObject Type="Embed" ProgID="Equation.3" ShapeID="_x0000_i1065" DrawAspect="Content" ObjectID="_1711543771"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45pt;height:32.9pt" o:ole="">
            <v:imagedata r:id="rId75" o:title=""/>
          </v:shape>
          <o:OLEObject Type="Embed" ProgID="Equation.3" ShapeID="_x0000_i1066" DrawAspect="Content" ObjectID="_1711543772"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3.7pt;height:66.85pt" o:ole="">
              <v:imagedata r:id="rId77" o:title=""/>
            </v:shape>
            <o:OLEObject Type="Embed" ProgID="Equation.3" ShapeID="_x0000_i1067" DrawAspect="Content" ObjectID="_1711543773"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7pt;height:63.75pt" o:ole="">
                  <v:imagedata r:id="rId79" o:title=""/>
                </v:shape>
                <o:OLEObject Type="Embed" ProgID="Equation.3" ShapeID="_x0000_i1069" DrawAspect="Content" ObjectID="_1711543774"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35pt;height:19.55pt" o:ole="">
            <v:imagedata r:id="rId43" o:title=""/>
          </v:shape>
          <o:OLEObject Type="Embed" ProgID="Equation.3" ShapeID="_x0000_i1070" DrawAspect="Content" ObjectID="_1711543775"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6.45pt" o:ole="">
            <v:imagedata r:id="rId53" o:title=""/>
          </v:shape>
          <o:OLEObject Type="Embed" ProgID="Equation.3" ShapeID="_x0000_i1071" DrawAspect="Content" ObjectID="_1711543776"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0" w:name="_Toc66447213"/>
      <w:bookmarkStart w:id="11"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0"/>
      <w:bookmarkEnd w:id="11"/>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2"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2"/>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3" w:name="_Toc66447215"/>
      <w:r>
        <w:lastRenderedPageBreak/>
        <w:t xml:space="preserve">                                                                                                </w:t>
      </w:r>
      <w:r w:rsidR="007270C4">
        <w:t xml:space="preserve">                               </w:t>
      </w:r>
      <w:r>
        <w:t xml:space="preserve"> </w:t>
      </w:r>
      <w:bookmarkStart w:id="14" w:name="_Toc74043295"/>
      <w:r w:rsidR="003830AE" w:rsidRPr="00B602F2">
        <w:t>Приложение 1</w:t>
      </w:r>
      <w:bookmarkStart w:id="15" w:name="Par165"/>
      <w:bookmarkStart w:id="16" w:name="_Toc66447216"/>
      <w:bookmarkEnd w:id="13"/>
      <w:bookmarkEnd w:id="15"/>
      <w:r w:rsidR="007270C4">
        <w:t>.</w:t>
      </w:r>
      <w:r>
        <w:t xml:space="preserve"> </w:t>
      </w:r>
      <w:r w:rsidR="003830AE" w:rsidRPr="00B602F2">
        <w:t>Критерии признания (прекращения признания) активов и обязательств Фонда</w:t>
      </w:r>
      <w:bookmarkEnd w:id="14"/>
      <w:bookmarkEnd w:id="16"/>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w:t>
            </w:r>
            <w:r w:rsidRPr="006D7089">
              <w:rPr>
                <w:bCs/>
                <w:sz w:val="22"/>
                <w:szCs w:val="22"/>
              </w:rPr>
              <w:lastRenderedPageBreak/>
              <w:t>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lastRenderedPageBreak/>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w:t>
            </w:r>
            <w:r w:rsidRPr="006D7089">
              <w:rPr>
                <w:bCs/>
                <w:sz w:val="22"/>
                <w:szCs w:val="22"/>
              </w:rPr>
              <w:lastRenderedPageBreak/>
              <w:t>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w:t>
            </w:r>
            <w:r w:rsidRPr="00073D96">
              <w:rPr>
                <w:bCs/>
                <w:szCs w:val="24"/>
              </w:rPr>
              <w:lastRenderedPageBreak/>
              <w:t>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 xml:space="preserve">Дата ликвидации лица, которым  не исполнены обязательства по </w:t>
            </w:r>
            <w:r w:rsidRPr="006D7089">
              <w:rPr>
                <w:bCs/>
                <w:sz w:val="22"/>
                <w:szCs w:val="22"/>
              </w:rPr>
              <w:lastRenderedPageBreak/>
              <w:t>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6D7089">
              <w:rPr>
                <w:bCs/>
                <w:color w:val="000000"/>
                <w:sz w:val="22"/>
                <w:szCs w:val="22"/>
              </w:rPr>
              <w:lastRenderedPageBreak/>
              <w:t>"Об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7"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7"/>
    </w:p>
    <w:p w:rsidR="00697590" w:rsidRPr="00207827" w:rsidRDefault="00697590" w:rsidP="0072342E">
      <w:pPr>
        <w:ind w:left="4820"/>
        <w:jc w:val="both"/>
        <w:rPr>
          <w:b/>
          <w:szCs w:val="24"/>
        </w:rPr>
      </w:pPr>
    </w:p>
    <w:p w:rsidR="003830AE" w:rsidRPr="007F610B" w:rsidRDefault="00BA5077" w:rsidP="0072342E">
      <w:pPr>
        <w:pStyle w:val="2"/>
      </w:pPr>
      <w:bookmarkStart w:id="18" w:name="_Toc74043297"/>
      <w:r w:rsidRPr="007F610B">
        <w:t>Термины и определения:</w:t>
      </w:r>
      <w:bookmarkEnd w:id="18"/>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 xml:space="preserve">Основным рынком для иностранных ценных бумаг (за исключением облигаций внешних облигационных займов Российской Федерации, долговых ценных бумаг </w:t>
      </w:r>
      <w:r w:rsidRPr="00B602F2">
        <w:rPr>
          <w:rFonts w:eastAsia="Batang"/>
          <w:b/>
          <w:color w:val="000000"/>
          <w:szCs w:val="24"/>
        </w:rPr>
        <w:lastRenderedPageBreak/>
        <w:t>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19"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19"/>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0"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0"/>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532BF0"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532BF0"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532BF0"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532BF0"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w:lastRenderedPageBreak/>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532BF0"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532BF0"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532BF0"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532BF0"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lastRenderedPageBreak/>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532BF0"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532BF0"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532BF0"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1"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1"/>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7D04AF53" wp14:editId="37C70095">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72342E">
      <w:pPr>
        <w:rPr>
          <w:b/>
          <w:i/>
          <w:szCs w:val="24"/>
        </w:rPr>
      </w:pPr>
      <w:r w:rsidRPr="006D7089">
        <w:rPr>
          <w:b/>
          <w:i/>
          <w:szCs w:val="24"/>
        </w:rPr>
        <w:t>Облигации, номинированные в рублях.</w:t>
      </w:r>
    </w:p>
    <w:p w:rsidR="00E201F4" w:rsidRPr="00B602F2" w:rsidRDefault="00D7733C" w:rsidP="0072342E">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5.05pt;height:34.95pt" o:ole="">
            <v:imagedata r:id="rId84" o:title=""/>
          </v:shape>
          <o:OLEObject Type="Embed" ProgID="Equation.3" ShapeID="_x0000_i1072" DrawAspect="Content" ObjectID="_1711543777"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lastRenderedPageBreak/>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E201F4" w:rsidRPr="00906E53" w:rsidRDefault="00E201F4" w:rsidP="0072342E">
      <w:pPr>
        <w:ind w:firstLine="284"/>
        <w:jc w:val="both"/>
        <w:rPr>
          <w:szCs w:val="24"/>
        </w:rPr>
      </w:pPr>
      <w:r w:rsidRPr="00906E53">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6" w:history="1">
        <w:r w:rsidRPr="00906E53">
          <w:rPr>
            <w:rStyle w:val="a7"/>
            <w:szCs w:val="24"/>
          </w:rPr>
          <w:t>https://www.spratings.com/documents/20184/774196/2016+Annual+Global+Corporate+Default+Study+And+Rating+Transitions.pdf/2ddcf9dd-3b82-4151-9dab-8e3fc70a7035</w:t>
        </w:r>
      </w:hyperlink>
      <w:r w:rsidRPr="00906E53">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7F38DF">
        <w:rPr>
          <w:szCs w:val="24"/>
        </w:rPr>
        <w:t xml:space="preserve">Государственные ценные бумаги Российской Федерации </w:t>
      </w:r>
      <w:r w:rsidR="005C5905">
        <w:rPr>
          <w:szCs w:val="24"/>
        </w:rPr>
        <w:t>в целях определения рейтинговой группы учитываются с</w:t>
      </w:r>
      <w:r w:rsidR="00514F17">
        <w:rPr>
          <w:szCs w:val="24"/>
        </w:rPr>
        <w:t xml:space="preserve"> </w:t>
      </w:r>
      <w:r w:rsidR="005C5905">
        <w:rPr>
          <w:szCs w:val="24"/>
        </w:rPr>
        <w:t>рейтингом</w:t>
      </w:r>
      <w:r w:rsidR="00514F17">
        <w:rPr>
          <w:szCs w:val="24"/>
        </w:rPr>
        <w:t xml:space="preserve"> РФ по состоянию на 01.02.2022</w:t>
      </w:r>
      <w:r w:rsidR="007F38DF">
        <w:rPr>
          <w:szCs w:val="24"/>
        </w:rPr>
        <w:t>.</w:t>
      </w:r>
      <w:r w:rsidRPr="00B602F2">
        <w:rPr>
          <w:szCs w:val="24"/>
        </w:rPr>
        <w:t xml:space="preserve"> </w:t>
      </w:r>
      <w:r w:rsidR="0072104B">
        <w:rPr>
          <w:szCs w:val="24"/>
        </w:rPr>
        <w:t xml:space="preserve">Через сопоставление  </w:t>
      </w:r>
      <w:r w:rsidR="0072104B" w:rsidRPr="00854A94">
        <w:rPr>
          <w:szCs w:val="24"/>
        </w:rPr>
        <w:t xml:space="preserve">рейтингов </w:t>
      </w:r>
      <w:r w:rsidR="0072104B" w:rsidRPr="00AA42CF">
        <w:rPr>
          <w:szCs w:val="24"/>
        </w:rPr>
        <w:t xml:space="preserve">с рейтингами АО «Эксперт РА» </w:t>
      </w:r>
      <w:r w:rsidR="0072104B">
        <w:rPr>
          <w:szCs w:val="24"/>
        </w:rPr>
        <w:t xml:space="preserve"> </w:t>
      </w:r>
    </w:p>
    <w:p w:rsidR="00FD2219" w:rsidRPr="001C2B7D" w:rsidRDefault="00FD2219" w:rsidP="0072342E">
      <w:pPr>
        <w:spacing w:after="120"/>
        <w:ind w:firstLine="426"/>
        <w:jc w:val="both"/>
        <w:rPr>
          <w:b/>
          <w:szCs w:val="24"/>
        </w:rPr>
      </w:pPr>
      <w:r w:rsidRPr="001C2B7D">
        <w:rPr>
          <w:b/>
          <w:szCs w:val="24"/>
        </w:rPr>
        <w:t>Таблица сопоставления рейтингов</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6"/>
        <w:gridCol w:w="1986"/>
        <w:gridCol w:w="1986"/>
      </w:tblGrid>
      <w:tr w:rsidR="00FD2219" w:rsidRPr="0047513D" w:rsidTr="001C2B7D">
        <w:trPr>
          <w:trHeight w:val="345"/>
          <w:jc w:val="center"/>
        </w:trPr>
        <w:tc>
          <w:tcPr>
            <w:tcW w:w="1685" w:type="dxa"/>
            <w:vMerge w:val="restart"/>
            <w:shd w:val="clear" w:color="auto" w:fill="D8D8D8"/>
            <w:vAlign w:val="center"/>
            <w:hideMark/>
          </w:tcPr>
          <w:p w:rsidR="00FD2219" w:rsidRPr="0047513D" w:rsidRDefault="00FD2219" w:rsidP="001C2B7D">
            <w:pPr>
              <w:jc w:val="center"/>
              <w:rPr>
                <w:b/>
                <w:bCs/>
                <w:szCs w:val="24"/>
              </w:rPr>
            </w:pPr>
            <w:r w:rsidRPr="0047513D">
              <w:rPr>
                <w:b/>
                <w:bCs/>
                <w:szCs w:val="24"/>
              </w:rPr>
              <w:t>Эксперт РА</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Moody`s</w:t>
            </w:r>
          </w:p>
        </w:tc>
        <w:tc>
          <w:tcPr>
            <w:tcW w:w="1986" w:type="dxa"/>
            <w:shd w:val="clear" w:color="auto" w:fill="D8D8D8"/>
            <w:vAlign w:val="center"/>
            <w:hideMark/>
          </w:tcPr>
          <w:p w:rsidR="00FD2219" w:rsidRPr="0047513D" w:rsidRDefault="00FD2219" w:rsidP="001C2B7D">
            <w:pPr>
              <w:jc w:val="center"/>
              <w:rPr>
                <w:b/>
                <w:bCs/>
                <w:szCs w:val="24"/>
              </w:rPr>
            </w:pPr>
            <w:r w:rsidRPr="0047513D">
              <w:rPr>
                <w:b/>
                <w:bCs/>
                <w:szCs w:val="24"/>
              </w:rPr>
              <w:t>S&amp;P</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Fitch</w:t>
            </w:r>
          </w:p>
        </w:tc>
      </w:tr>
      <w:tr w:rsidR="00FD2219" w:rsidRPr="0047513D" w:rsidTr="001C2B7D">
        <w:trPr>
          <w:trHeight w:val="345"/>
          <w:jc w:val="center"/>
        </w:trPr>
        <w:tc>
          <w:tcPr>
            <w:tcW w:w="1685" w:type="dxa"/>
            <w:vMerge/>
            <w:vAlign w:val="center"/>
            <w:hideMark/>
          </w:tcPr>
          <w:p w:rsidR="00FD2219" w:rsidRPr="0047513D" w:rsidRDefault="00FD2219" w:rsidP="001C2B7D">
            <w:pPr>
              <w:rPr>
                <w:b/>
                <w:bCs/>
                <w:szCs w:val="24"/>
              </w:rPr>
            </w:pP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433"/>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 ruA-, ruBBB+</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В1</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45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 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В2</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lastRenderedPageBreak/>
              <w:t>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B3</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r>
      <w:tr w:rsidR="00FD2219" w:rsidRPr="0047513D" w:rsidTr="001C2B7D">
        <w:trPr>
          <w:trHeight w:val="345"/>
          <w:jc w:val="center"/>
        </w:trPr>
        <w:tc>
          <w:tcPr>
            <w:tcW w:w="1685" w:type="dxa"/>
            <w:shd w:val="clear" w:color="auto" w:fill="E5DFEC" w:themeFill="accent4" w:themeFillTint="33"/>
            <w:vAlign w:val="center"/>
          </w:tcPr>
          <w:p w:rsidR="00FD2219" w:rsidRPr="0047513D" w:rsidRDefault="00FD2219" w:rsidP="001C2B7D">
            <w:pPr>
              <w:jc w:val="center"/>
              <w:rPr>
                <w:szCs w:val="24"/>
              </w:rPr>
            </w:pPr>
            <w:r w:rsidRPr="0047513D">
              <w:rPr>
                <w:szCs w:val="24"/>
                <w:lang w:val="en-US"/>
              </w:rPr>
              <w:t>CCC, 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Caa, Ca,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r>
    </w:tbl>
    <w:p w:rsidR="00FD2219" w:rsidRDefault="00FD2219" w:rsidP="0072342E">
      <w:pPr>
        <w:spacing w:after="120"/>
        <w:ind w:firstLine="426"/>
        <w:jc w:val="both"/>
        <w:rPr>
          <w:szCs w:val="24"/>
        </w:rPr>
      </w:pPr>
    </w:p>
    <w:p w:rsidR="00E201F4" w:rsidRDefault="00E201F4" w:rsidP="0072342E">
      <w:pPr>
        <w:spacing w:after="120"/>
        <w:ind w:firstLine="426"/>
        <w:jc w:val="both"/>
        <w:rPr>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w:t>
      </w:r>
      <w:r w:rsidR="005C5905">
        <w:rPr>
          <w:szCs w:val="24"/>
        </w:rPr>
        <w:t>В случае отсутствия кредитного рейтинга у выпуска долговой ценной бумаги и эмитента при наличии государственной гарантии Российской Федерации</w:t>
      </w:r>
      <w:r w:rsidR="00516754">
        <w:rPr>
          <w:szCs w:val="24"/>
        </w:rPr>
        <w:t>, данная ценная бумага учитывается с рейтингом</w:t>
      </w:r>
      <w:r w:rsidR="00514F17">
        <w:rPr>
          <w:szCs w:val="24"/>
        </w:rPr>
        <w:t xml:space="preserve"> РФ по состоянию на 01.02.2022</w:t>
      </w:r>
      <w:r w:rsidR="00516754">
        <w:rPr>
          <w:szCs w:val="24"/>
        </w:rPr>
        <w:t xml:space="preserve">. </w:t>
      </w:r>
      <w:r w:rsidR="00D7733C" w:rsidRPr="006D7089">
        <w:rPr>
          <w:szCs w:val="24"/>
        </w:rPr>
        <w:t xml:space="preserve">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tbl>
      <w:tblPr>
        <w:tblW w:w="5000" w:type="pct"/>
        <w:jc w:val="center"/>
        <w:tblLook w:val="04A0" w:firstRow="1" w:lastRow="0" w:firstColumn="1" w:lastColumn="0" w:noHBand="0" w:noVBand="1"/>
      </w:tblPr>
      <w:tblGrid>
        <w:gridCol w:w="3396"/>
        <w:gridCol w:w="2460"/>
        <w:gridCol w:w="3421"/>
      </w:tblGrid>
      <w:tr w:rsidR="002802F8" w:rsidRPr="00906E53" w:rsidTr="002802F8">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w:t>
            </w:r>
          </w:p>
        </w:tc>
      </w:tr>
      <w:tr w:rsidR="002802F8" w:rsidRPr="00906E53" w:rsidTr="002802F8">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w:t>
            </w:r>
          </w:p>
        </w:tc>
      </w:tr>
      <w:tr w:rsidR="002802F8" w:rsidRPr="00906E53" w:rsidTr="002802F8">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lang w:val="en-US"/>
              </w:rPr>
            </w:pPr>
            <w:r w:rsidRPr="00906E53">
              <w:rPr>
                <w:color w:val="000000"/>
                <w:szCs w:val="24"/>
                <w:lang w:val="en-US"/>
              </w:rPr>
              <w:t xml:space="preserve">AA+(RU), AA(RU)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szCs w:val="24"/>
              </w:rPr>
            </w:pPr>
            <w:r w:rsidRPr="00906E53">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II</w:t>
            </w:r>
          </w:p>
        </w:tc>
      </w:tr>
      <w:tr w:rsidR="002802F8" w:rsidRPr="00906E53" w:rsidTr="002802F8">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lang w:val="en-US"/>
              </w:rPr>
              <w:t xml:space="preserve">AA-(RU), </w:t>
            </w:r>
            <w:r w:rsidRPr="00906E53">
              <w:rPr>
                <w:color w:val="000000"/>
                <w:szCs w:val="24"/>
              </w:rPr>
              <w:t xml:space="preserve">A+(RU)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A(RU)</w:t>
            </w:r>
            <w:r w:rsidRPr="00906E53">
              <w:rPr>
                <w:color w:val="000000"/>
                <w:szCs w:val="24"/>
                <w:lang w:val="en-US"/>
              </w:rPr>
              <w:t xml:space="preserve">, </w:t>
            </w:r>
            <w:r w:rsidRPr="00906E53">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 xml:space="preserve">BBB(RU) </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w:t>
            </w:r>
          </w:p>
          <w:p w:rsidR="002802F8" w:rsidRPr="00906E53" w:rsidRDefault="002802F8" w:rsidP="0072342E">
            <w:pPr>
              <w:jc w:val="center"/>
              <w:rPr>
                <w:color w:val="000000"/>
                <w:szCs w:val="24"/>
              </w:rPr>
            </w:pPr>
            <w:r w:rsidRPr="00906E53">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lang w:val="en-US"/>
              </w:rPr>
            </w:pPr>
            <w:r w:rsidRPr="00906E53">
              <w:rPr>
                <w:b/>
                <w:bCs/>
                <w:color w:val="000000"/>
                <w:szCs w:val="24"/>
              </w:rPr>
              <w:t>Рейтинговая группа II</w:t>
            </w:r>
            <w:r w:rsidRPr="00906E53">
              <w:rPr>
                <w:b/>
                <w:bCs/>
                <w:color w:val="000000"/>
                <w:szCs w:val="24"/>
                <w:lang w:val="en-US"/>
              </w:rPr>
              <w:t>I</w:t>
            </w: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E201F4" w:rsidRPr="00B602F2" w:rsidTr="002802F8">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906E53" w:rsidRDefault="00E201F4" w:rsidP="0072342E">
            <w:pPr>
              <w:jc w:val="center"/>
              <w:rPr>
                <w:color w:val="000000"/>
                <w:szCs w:val="24"/>
              </w:rPr>
            </w:pPr>
            <w:r w:rsidRPr="00906E53">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E201F4" w:rsidRPr="00B602F2" w:rsidRDefault="00E201F4" w:rsidP="0072342E">
            <w:pPr>
              <w:jc w:val="center"/>
              <w:rPr>
                <w:b/>
                <w:bCs/>
                <w:color w:val="000000"/>
                <w:szCs w:val="24"/>
                <w:lang w:val="en-US"/>
              </w:rPr>
            </w:pPr>
            <w:r w:rsidRPr="00906E53">
              <w:rPr>
                <w:b/>
                <w:bCs/>
                <w:color w:val="000000"/>
                <w:szCs w:val="24"/>
              </w:rPr>
              <w:t>Рейтинговая группа I</w:t>
            </w:r>
            <w:r w:rsidRPr="00906E53">
              <w:rPr>
                <w:b/>
                <w:bCs/>
                <w:color w:val="000000"/>
                <w:szCs w:val="24"/>
                <w:lang w:val="en-US"/>
              </w:rPr>
              <w:t>V</w:t>
            </w:r>
          </w:p>
        </w:tc>
      </w:tr>
    </w:tbl>
    <w:p w:rsidR="00E201F4" w:rsidRPr="00B602F2" w:rsidRDefault="00E201F4" w:rsidP="0072342E">
      <w:pPr>
        <w:spacing w:after="120"/>
        <w:rPr>
          <w:szCs w:val="24"/>
        </w:rPr>
      </w:pPr>
    </w:p>
    <w:p w:rsidR="00E201F4" w:rsidRPr="00B602F2" w:rsidRDefault="00E201F4"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72342E">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Рейтинговая группа II - Индекс корпоративных облигаций (1-3 года, BB- ≤ рейтинг &lt; BBB-),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72342E">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72342E">
      <w:pPr>
        <w:ind w:firstLine="284"/>
        <w:jc w:val="both"/>
        <w:rPr>
          <w:szCs w:val="24"/>
        </w:rPr>
      </w:pPr>
      <w:r w:rsidRPr="00B602F2">
        <w:rPr>
          <w:szCs w:val="24"/>
        </w:rPr>
        <w:t>Тикер -</w:t>
      </w:r>
      <w:r w:rsidRPr="00B602F2">
        <w:rPr>
          <w:b/>
          <w:szCs w:val="24"/>
        </w:rPr>
        <w:t>RUCBICPL3</w:t>
      </w:r>
      <w:r w:rsidRPr="00B602F2">
        <w:rPr>
          <w:szCs w:val="24"/>
        </w:rPr>
        <w:t>.</w:t>
      </w:r>
    </w:p>
    <w:p w:rsidR="00E201F4" w:rsidRPr="00B602F2" w:rsidRDefault="00E201F4" w:rsidP="0072342E">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72342E">
      <w:pPr>
        <w:spacing w:after="120"/>
        <w:ind w:firstLine="426"/>
        <w:jc w:val="both"/>
        <w:rPr>
          <w:b/>
          <w:szCs w:val="24"/>
        </w:rPr>
      </w:pPr>
      <w:r w:rsidRPr="00B602F2">
        <w:rPr>
          <w:b/>
          <w:szCs w:val="24"/>
        </w:rPr>
        <w:t>Рейтинговая группа 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532BF0"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72342E">
      <w:pPr>
        <w:spacing w:after="120"/>
        <w:ind w:firstLine="426"/>
        <w:jc w:val="both"/>
        <w:rPr>
          <w:szCs w:val="24"/>
        </w:rPr>
      </w:pPr>
    </w:p>
    <w:p w:rsidR="00E201F4" w:rsidRPr="00207827" w:rsidRDefault="00E201F4" w:rsidP="0072342E">
      <w:pPr>
        <w:spacing w:after="120"/>
        <w:ind w:firstLine="426"/>
        <w:jc w:val="both"/>
        <w:rPr>
          <w:szCs w:val="24"/>
        </w:rPr>
      </w:pPr>
      <w:r w:rsidRPr="00207827">
        <w:rPr>
          <w:szCs w:val="24"/>
        </w:rPr>
        <w:t>где:</w:t>
      </w:r>
    </w:p>
    <w:p w:rsidR="00E201F4"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72342E">
      <w:pPr>
        <w:spacing w:after="120"/>
        <w:ind w:firstLine="426"/>
        <w:jc w:val="both"/>
        <w:rPr>
          <w:szCs w:val="24"/>
        </w:rPr>
      </w:pPr>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532BF0"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III</w:t>
      </w:r>
    </w:p>
    <w:p w:rsidR="00E201F4" w:rsidRPr="00207827" w:rsidRDefault="00E201F4" w:rsidP="0072342E">
      <w:pPr>
        <w:spacing w:after="120"/>
        <w:ind w:firstLine="426"/>
        <w:jc w:val="both"/>
        <w:rPr>
          <w:szCs w:val="24"/>
        </w:rPr>
      </w:pPr>
      <w:r w:rsidRPr="00B602F2">
        <w:rPr>
          <w:szCs w:val="24"/>
        </w:rPr>
        <w:lastRenderedPageBreak/>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532BF0"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IV</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532BF0"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532BF0"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72342E">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72342E">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72342E">
      <w:pPr>
        <w:rPr>
          <w:b/>
          <w:szCs w:val="24"/>
          <w:u w:val="single"/>
        </w:rPr>
      </w:pPr>
    </w:p>
    <w:p w:rsidR="00E201F4" w:rsidRPr="007F610B"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72342E">
      <w:pPr>
        <w:ind w:firstLine="426"/>
        <w:jc w:val="both"/>
        <w:rPr>
          <w:szCs w:val="24"/>
        </w:rPr>
      </w:pPr>
      <w:r w:rsidRPr="00B602F2">
        <w:rPr>
          <w:szCs w:val="24"/>
        </w:rPr>
        <w:lastRenderedPageBreak/>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1C2B7D" w:rsidRDefault="00E201F4" w:rsidP="0072342E">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005C5905">
        <w:rPr>
          <w:szCs w:val="24"/>
        </w:rPr>
        <w:t>.</w:t>
      </w:r>
      <w:r w:rsidRPr="00207827">
        <w:rPr>
          <w:szCs w:val="24"/>
        </w:rPr>
        <w:t xml:space="preserve"> </w:t>
      </w:r>
      <w:r w:rsidR="00017218">
        <w:rPr>
          <w:szCs w:val="24"/>
        </w:rPr>
        <w:t>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w:t>
      </w:r>
      <w:r w:rsidR="005C5905">
        <w:rPr>
          <w:szCs w:val="24"/>
        </w:rPr>
        <w:t xml:space="preserve"> </w:t>
      </w:r>
      <w:r w:rsidR="00017218">
        <w:rPr>
          <w:szCs w:val="24"/>
        </w:rPr>
        <w:t>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 xml:space="preserve">. </w:t>
      </w:r>
      <w:r w:rsidRPr="00207827">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5000" w:type="pct"/>
        <w:jc w:val="center"/>
        <w:tblLook w:val="04A0" w:firstRow="1" w:lastRow="0" w:firstColumn="1" w:lastColumn="0" w:noHBand="0" w:noVBand="1"/>
      </w:tblPr>
      <w:tblGrid>
        <w:gridCol w:w="3396"/>
        <w:gridCol w:w="2460"/>
        <w:gridCol w:w="3421"/>
      </w:tblGrid>
      <w:tr w:rsidR="00D309DF"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w:t>
            </w:r>
          </w:p>
        </w:tc>
      </w:tr>
      <w:tr w:rsidR="00D309DF" w:rsidRPr="00B602F2" w:rsidTr="001C2B7D">
        <w:trPr>
          <w:trHeight w:val="403"/>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w:t>
            </w:r>
          </w:p>
        </w:tc>
      </w:tr>
      <w:tr w:rsidR="00D309DF"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II</w:t>
            </w:r>
          </w:p>
        </w:tc>
      </w:tr>
      <w:tr w:rsidR="00D309DF"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w:t>
            </w:r>
          </w:p>
          <w:p w:rsidR="00D309DF" w:rsidRPr="00B602F2" w:rsidRDefault="00D309DF" w:rsidP="0072342E">
            <w:pPr>
              <w:jc w:val="center"/>
              <w:rPr>
                <w:color w:val="000000"/>
                <w:szCs w:val="24"/>
              </w:rPr>
            </w:pPr>
            <w:r w:rsidRPr="00B602F2">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683B05" w:rsidRDefault="00D309DF"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D309DF" w:rsidRPr="001C2B7D" w:rsidRDefault="00D309DF" w:rsidP="0072342E">
      <w:pPr>
        <w:ind w:firstLine="426"/>
        <w:jc w:val="both"/>
        <w:rPr>
          <w:szCs w:val="24"/>
          <w:lang w:val="en-US"/>
        </w:rPr>
      </w:pPr>
    </w:p>
    <w:p w:rsidR="00E201F4" w:rsidRPr="001C57DA" w:rsidRDefault="00E201F4" w:rsidP="0072342E">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lastRenderedPageBreak/>
        <w:t>сектор государственных ценных бумаг.</w:t>
      </w:r>
    </w:p>
    <w:p w:rsidR="00E201F4" w:rsidRPr="00207827" w:rsidRDefault="00E201F4" w:rsidP="0072342E">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72342E">
      <w:pPr>
        <w:autoSpaceDE w:val="0"/>
        <w:autoSpaceDN w:val="0"/>
        <w:adjustRightInd w:val="0"/>
        <w:ind w:left="426"/>
        <w:jc w:val="both"/>
        <w:rPr>
          <w:szCs w:val="24"/>
        </w:rPr>
      </w:pPr>
    </w:p>
    <w:p w:rsidR="00E201F4" w:rsidRPr="00207827" w:rsidRDefault="00532BF0" w:rsidP="0072342E">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72342E">
      <w:pPr>
        <w:autoSpaceDE w:val="0"/>
        <w:autoSpaceDN w:val="0"/>
        <w:adjustRightInd w:val="0"/>
        <w:ind w:left="426"/>
        <w:jc w:val="both"/>
        <w:rPr>
          <w:szCs w:val="24"/>
        </w:rPr>
      </w:pPr>
      <w:r w:rsidRPr="00207827">
        <w:rPr>
          <w:szCs w:val="24"/>
        </w:rPr>
        <w:t>где,</w:t>
      </w:r>
    </w:p>
    <w:p w:rsidR="00E201F4" w:rsidRPr="00207827" w:rsidRDefault="00532BF0" w:rsidP="0072342E">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532BF0" w:rsidP="0072342E">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72342E">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953C10" w:rsidRDefault="00953C10" w:rsidP="0072342E">
      <w:pPr>
        <w:ind w:firstLine="426"/>
        <w:jc w:val="both"/>
        <w:rPr>
          <w:szCs w:val="24"/>
        </w:rPr>
      </w:pPr>
    </w:p>
    <w:p w:rsidR="00ED16C2" w:rsidRPr="00B602F2" w:rsidRDefault="001B1FD4" w:rsidP="0072342E">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72342E">
      <w:pPr>
        <w:jc w:val="center"/>
        <w:rPr>
          <w:color w:val="0D0D0D"/>
          <w:szCs w:val="24"/>
        </w:rPr>
      </w:pPr>
      <w:r w:rsidRPr="00207827">
        <w:rPr>
          <w:noProof/>
          <w:position w:val="-30"/>
          <w:szCs w:val="24"/>
        </w:rPr>
        <w:object w:dxaOrig="2900" w:dyaOrig="700" w14:anchorId="664DD01C">
          <v:shape id="_x0000_i1073" type="#_x0000_t75" style="width:145.05pt;height:34.95pt" o:ole="">
            <v:imagedata r:id="rId84" o:title=""/>
          </v:shape>
          <o:OLEObject Type="Embed" ProgID="Equation.3" ShapeID="_x0000_i1073" DrawAspect="Content" ObjectID="_1711543778" r:id="rId87"/>
        </w:object>
      </w:r>
    </w:p>
    <w:p w:rsidR="00ED16C2" w:rsidRPr="00B602F2" w:rsidRDefault="00ED16C2"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72342E">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72342E">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72342E">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72342E">
      <w:pPr>
        <w:ind w:firstLine="284"/>
        <w:jc w:val="both"/>
        <w:rPr>
          <w:szCs w:val="24"/>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D16C2" w:rsidRPr="00B602F2" w:rsidRDefault="00ED16C2" w:rsidP="0072342E">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72342E">
      <w:pPr>
        <w:spacing w:after="120"/>
        <w:ind w:firstLine="426"/>
        <w:jc w:val="both"/>
        <w:rPr>
          <w:szCs w:val="24"/>
        </w:rPr>
      </w:pPr>
      <w:r w:rsidRPr="00B602F2">
        <w:rPr>
          <w:szCs w:val="24"/>
        </w:rPr>
        <w:lastRenderedPageBreak/>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w:t>
      </w:r>
      <w:r w:rsidR="00017218">
        <w:rPr>
          <w:szCs w:val="24"/>
        </w:rPr>
        <w:t xml:space="preserve"> 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 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w:t>
      </w:r>
      <w:r w:rsidRPr="00B602F2">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7A3DE0" w:rsidRDefault="007A3DE0" w:rsidP="0072342E">
      <w:pPr>
        <w:spacing w:after="120"/>
        <w:ind w:firstLine="426"/>
        <w:jc w:val="both"/>
        <w:rPr>
          <w:szCs w:val="24"/>
        </w:rPr>
      </w:pPr>
    </w:p>
    <w:p w:rsidR="007A3DE0" w:rsidRDefault="007A3DE0" w:rsidP="0072342E">
      <w:pPr>
        <w:spacing w:after="120"/>
        <w:ind w:firstLine="426"/>
        <w:jc w:val="both"/>
        <w:rPr>
          <w:szCs w:val="24"/>
        </w:rPr>
      </w:pPr>
    </w:p>
    <w:p w:rsidR="00F115D7" w:rsidRPr="00B602F2" w:rsidRDefault="00F115D7" w:rsidP="0072342E">
      <w:pPr>
        <w:spacing w:after="120"/>
        <w:ind w:firstLine="426"/>
        <w:jc w:val="both"/>
        <w:rPr>
          <w:szCs w:val="24"/>
        </w:rPr>
      </w:pPr>
    </w:p>
    <w:tbl>
      <w:tblPr>
        <w:tblW w:w="5000" w:type="pct"/>
        <w:jc w:val="center"/>
        <w:tblLook w:val="04A0" w:firstRow="1" w:lastRow="0" w:firstColumn="1" w:lastColumn="0" w:noHBand="0" w:noVBand="1"/>
      </w:tblPr>
      <w:tblGrid>
        <w:gridCol w:w="3396"/>
        <w:gridCol w:w="2460"/>
        <w:gridCol w:w="3421"/>
      </w:tblGrid>
      <w:tr w:rsidR="001E2F4E"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w:t>
            </w:r>
          </w:p>
        </w:tc>
      </w:tr>
      <w:tr w:rsidR="001E2F4E" w:rsidRPr="00B602F2" w:rsidTr="007F38DF">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w:t>
            </w:r>
          </w:p>
        </w:tc>
      </w:tr>
      <w:tr w:rsidR="001E2F4E"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II</w:t>
            </w:r>
          </w:p>
        </w:tc>
      </w:tr>
      <w:tr w:rsidR="001E2F4E"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w:t>
            </w:r>
          </w:p>
          <w:p w:rsidR="001E2F4E" w:rsidRPr="00B602F2" w:rsidRDefault="001E2F4E" w:rsidP="009E392C">
            <w:pPr>
              <w:jc w:val="center"/>
              <w:rPr>
                <w:color w:val="000000"/>
                <w:szCs w:val="24"/>
              </w:rPr>
            </w:pPr>
            <w:r w:rsidRPr="00B602F2">
              <w:rPr>
                <w:color w:val="000000"/>
                <w:szCs w:val="24"/>
              </w:rPr>
              <w:t>ru</w:t>
            </w:r>
            <w:r w:rsidR="009E392C">
              <w:rPr>
                <w:color w:val="000000"/>
                <w:szCs w:val="24"/>
              </w:rPr>
              <w:t>ВВ</w:t>
            </w:r>
            <w:r w:rsidRPr="00B602F2">
              <w:rPr>
                <w:color w:val="000000"/>
                <w:szCs w:val="24"/>
              </w:rPr>
              <w:t>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683B05" w:rsidRDefault="001E2F4E"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1E2F4E" w:rsidRPr="001C2B7D" w:rsidRDefault="001E2F4E" w:rsidP="0072342E">
      <w:pPr>
        <w:spacing w:after="120"/>
        <w:rPr>
          <w:szCs w:val="24"/>
          <w:lang w:val="en-US"/>
        </w:rPr>
      </w:pPr>
    </w:p>
    <w:p w:rsidR="00ED16C2" w:rsidRPr="00B602F2" w:rsidRDefault="00ED16C2"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72342E">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lastRenderedPageBreak/>
        <w:t>Рейтинговая группа I - Euro-Cbonds IG 3Y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72342E">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913107" w:rsidRPr="00207827" w:rsidRDefault="00913107" w:rsidP="0072342E">
      <w:pPr>
        <w:pStyle w:val="2"/>
        <w:rPr>
          <w:rFonts w:eastAsia="Calibri"/>
          <w:lang w:eastAsia="en-US"/>
        </w:rPr>
      </w:pPr>
      <w:bookmarkStart w:id="22"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2"/>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3"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3"/>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4"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4"/>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w:t>
      </w:r>
      <w:r w:rsidRPr="00B602F2">
        <w:rPr>
          <w:rFonts w:eastAsia="Calibri"/>
          <w:szCs w:val="24"/>
          <w:lang w:eastAsia="en-US"/>
        </w:rPr>
        <w:lastRenderedPageBreak/>
        <w:t>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5"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5"/>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lastRenderedPageBreak/>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6" w:name="_Toc74043307"/>
      <w:r w:rsidRPr="001C2B7D">
        <w:rPr>
          <w:rFonts w:eastAsia="Batang"/>
        </w:rPr>
        <w:t>Драгоценные металлы</w:t>
      </w:r>
      <w:r w:rsidR="00E37F4F" w:rsidRPr="001C2B7D">
        <w:rPr>
          <w:rFonts w:eastAsia="Batang"/>
        </w:rPr>
        <w:t>.</w:t>
      </w:r>
      <w:bookmarkEnd w:id="26"/>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7"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7"/>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w:t>
      </w:r>
      <w:r w:rsidRPr="00E443D6">
        <w:rPr>
          <w:rFonts w:eastAsia="Batang"/>
          <w:color w:val="000000"/>
          <w:szCs w:val="24"/>
        </w:rPr>
        <w:lastRenderedPageBreak/>
        <w:t xml:space="preserve">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8" w:name="_Toc74043309"/>
      <w:r w:rsidRPr="001C2B7D">
        <w:rPr>
          <w:rFonts w:eastAsia="Batang"/>
        </w:rPr>
        <w:t>Сделки с ценными бумагами, полученными на возвратной основе (РЕПО)</w:t>
      </w:r>
      <w:bookmarkEnd w:id="28"/>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532BF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532BF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532BF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532BF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lastRenderedPageBreak/>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532BF0"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532BF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532BF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532BF0"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lastRenderedPageBreak/>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29" w:name="_Toc74043310"/>
      <w:r w:rsidRPr="00AD1AF7">
        <w:rPr>
          <w:rFonts w:eastAsia="Calibri"/>
          <w:lang w:eastAsia="en-US"/>
        </w:rPr>
        <w:t>Дебиторская и кредиторская задолженность.</w:t>
      </w:r>
      <w:bookmarkEnd w:id="29"/>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0" w:name="_Toc74043311"/>
      <w:r w:rsidRPr="00B602F2">
        <w:rPr>
          <w:rFonts w:eastAsia="Calibri"/>
          <w:lang w:eastAsia="en-US"/>
        </w:rPr>
        <w:t>Сделки со сроком расчетов более Т0 (до даты расчетов)</w:t>
      </w:r>
      <w:bookmarkEnd w:id="30"/>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lastRenderedPageBreak/>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1"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1"/>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 xml:space="preserve">обязательства в соответствии с условиями выпуска ценной </w:t>
      </w:r>
      <w:r w:rsidRPr="00B602F2">
        <w:rPr>
          <w:rFonts w:eastAsia="Calibri"/>
          <w:szCs w:val="24"/>
          <w:lang w:eastAsia="en-US"/>
        </w:rPr>
        <w:lastRenderedPageBreak/>
        <w:t>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1C2B7D">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r>
        <w:rPr>
          <w:rFonts w:eastAsia="Calibri"/>
          <w:b/>
          <w:szCs w:val="24"/>
          <w:lang w:eastAsia="en-US"/>
        </w:rPr>
        <w:t>Исключения:</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 xml:space="preserve">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 xml:space="preserve">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w:t>
      </w:r>
      <w:r w:rsidRPr="00906E53">
        <w:rPr>
          <w:rFonts w:eastAsia="Calibri"/>
          <w:szCs w:val="24"/>
          <w:lang w:eastAsia="en-US"/>
        </w:rPr>
        <w:t>отношении таких обязательств (дебиторской задолженности) до 30 апреля 2022 года (и</w:t>
      </w:r>
      <w:r>
        <w:rPr>
          <w:rFonts w:eastAsia="Calibri"/>
          <w:szCs w:val="24"/>
          <w:lang w:eastAsia="en-US"/>
        </w:rPr>
        <w:t xml:space="preserve"> поздее, в случае новых рекомендаций Банка России или НАУФОР) </w:t>
      </w:r>
      <w:r w:rsidRPr="001C2B7D">
        <w:rPr>
          <w:rFonts w:eastAsia="Calibri"/>
          <w:szCs w:val="24"/>
          <w:lang w:eastAsia="en-US"/>
        </w:rPr>
        <w:t xml:space="preserve">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3. Для обязательств в иностранной валюте может не считаться событием дефолта исполнение этих обязательств в иной валюте.</w:t>
      </w:r>
    </w:p>
    <w:p w:rsidR="00E809D8" w:rsidRPr="001C2B7D" w:rsidRDefault="00E809D8" w:rsidP="001C2B7D">
      <w:pPr>
        <w:contextualSpacing/>
        <w:jc w:val="both"/>
        <w:rPr>
          <w:rFonts w:eastAsia="Calibri"/>
          <w:szCs w:val="24"/>
          <w:lang w:eastAsia="en-US"/>
        </w:rPr>
      </w:pPr>
      <w:r w:rsidRPr="001C2B7D">
        <w:rPr>
          <w:rFonts w:eastAsia="Calibri"/>
          <w:szCs w:val="24"/>
          <w:lang w:eastAsia="en-US"/>
        </w:rPr>
        <w:t>Решение Управляющей компании о том, что указанные в пп.2.1.-2.3. события являются признаком обесценения или приводят к дефолту, оформляются мотивированным суждением и направляются в Специализированный депозитарий.</w:t>
      </w: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2" w:name="_Toc74043313"/>
      <w:r w:rsidRPr="00E37F4F">
        <w:rPr>
          <w:rFonts w:eastAsia="Calibri"/>
          <w:lang w:eastAsia="en-US"/>
        </w:rPr>
        <w:lastRenderedPageBreak/>
        <w:t>Прочая дебиторская задолженность (в т.ч. сделкам, по которым наступила наиболее ранняя дата расчетов)</w:t>
      </w:r>
      <w:bookmarkEnd w:id="32"/>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3" w:name="_Toc74043314"/>
      <w:r w:rsidRPr="00B602F2">
        <w:t>Дебиторская задолженность по денежным средствам «в пути».</w:t>
      </w:r>
      <w:bookmarkEnd w:id="33"/>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4" w:name="_Toc74043316"/>
      <w:r w:rsidRPr="00B602F2">
        <w:rPr>
          <w:rFonts w:eastAsia="Calibri"/>
          <w:lang w:eastAsia="en-US"/>
        </w:rPr>
        <w:lastRenderedPageBreak/>
        <w:t>Кредиторская задолженность.</w:t>
      </w:r>
      <w:bookmarkEnd w:id="34"/>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532BF0"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532BF0"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532BF0"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532BF0"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72342E">
      <w:pPr>
        <w:ind w:firstLine="426"/>
        <w:rPr>
          <w:szCs w:val="24"/>
        </w:rPr>
      </w:pPr>
    </w:p>
    <w:p w:rsidR="000E058F" w:rsidRDefault="00532BF0"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532BF0"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lastRenderedPageBreak/>
        <w:t>где:</w:t>
      </w:r>
    </w:p>
    <w:p w:rsidR="000E058F" w:rsidRDefault="00532BF0"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532BF0"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532BF0"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532BF0"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532BF0"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532BF0"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532BF0"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532BF0"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532BF0"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5"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5"/>
      <w:r w:rsidR="00005D87">
        <w:t xml:space="preserve"> </w:t>
      </w:r>
    </w:p>
    <w:p w:rsidR="00EB1A03" w:rsidRDefault="00EB1A03" w:rsidP="0072342E">
      <w:pPr>
        <w:pStyle w:val="2"/>
      </w:pPr>
      <w:bookmarkStart w:id="36" w:name="_Toc74043318"/>
      <w:r w:rsidRPr="00EB1A03">
        <w:t>Общие положения</w:t>
      </w:r>
      <w:bookmarkEnd w:id="36"/>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7" w:name="_Toc74043319"/>
      <w:r w:rsidRPr="00EB1A03">
        <w:t>Термины и определения, используемые в настоящем Приложении</w:t>
      </w:r>
      <w:bookmarkEnd w:id="37"/>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532BF0"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lastRenderedPageBreak/>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lastRenderedPageBreak/>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532BF0"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8" w:name="_Toc74043320"/>
      <w:r w:rsidRPr="00CC6B22">
        <w:t>Раздел 1. Стандартные активы (без признаков обесценения)</w:t>
      </w:r>
      <w:bookmarkEnd w:id="38"/>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39" w:name="_Toc74043321"/>
      <w:r w:rsidRPr="00CC6B22">
        <w:t>Раздел 2. Оценка активов. Обесценение без дефолта.</w:t>
      </w:r>
      <w:bookmarkEnd w:id="39"/>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lastRenderedPageBreak/>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lastRenderedPageBreak/>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lastRenderedPageBreak/>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lastRenderedPageBreak/>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0"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0"/>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lastRenderedPageBreak/>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w:t>
      </w:r>
      <w:r w:rsidR="00363749" w:rsidRPr="00363749">
        <w:rPr>
          <w:color w:val="000000"/>
        </w:rPr>
        <w:lastRenderedPageBreak/>
        <w:t xml:space="preserve">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1"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1"/>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lastRenderedPageBreak/>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3"/>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049"/>
        <w:gridCol w:w="1474"/>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14"/>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lastRenderedPageBreak/>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5"/>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532BF0"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Если после нарушения срока исполнения обязательств не возникало иных признаков обесценения, для контрагента используется наибольшая из вероятностей </w:t>
      </w:r>
      <w:r w:rsidRPr="004C6C12">
        <w:rPr>
          <w:rFonts w:ascii="Times New Roman" w:hAnsi="Times New Roman"/>
          <w:color w:val="000000"/>
          <w:sz w:val="24"/>
          <w:szCs w:val="24"/>
        </w:rPr>
        <w:lastRenderedPageBreak/>
        <w:t>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2" w:name="_Toc74043324"/>
      <w:r w:rsidRPr="005A6C5B">
        <w:t>Раздел 5.  Расчет LGD</w:t>
      </w:r>
      <w:bookmarkEnd w:id="42"/>
    </w:p>
    <w:p w:rsidR="009D3075" w:rsidRPr="009D3075" w:rsidRDefault="009D3075" w:rsidP="0072342E">
      <w:pPr>
        <w:pStyle w:val="a0"/>
        <w:numPr>
          <w:ilvl w:val="0"/>
          <w:numId w:val="2"/>
        </w:numPr>
      </w:pPr>
    </w:p>
    <w:p w:rsidR="009D3075" w:rsidRPr="004C6C12" w:rsidRDefault="009D3075" w:rsidP="0072342E">
      <w:pPr>
        <w:pStyle w:val="a0"/>
      </w:pPr>
      <w:r w:rsidRPr="004C6C12">
        <w:t xml:space="preserve">LGD при использовании рейтингов международных рейтинговых агентств (в том числе при переходе к рейтингам через котировки облигаций) и </w:t>
      </w:r>
      <w:r w:rsidRPr="004C6C12">
        <w:lastRenderedPageBreak/>
        <w:t>использовании Moody’s speculative grade</w:t>
      </w:r>
      <w:r w:rsidRPr="004C6C12">
        <w:rPr>
          <w:color w:val="000000"/>
          <w:vertAlign w:val="superscript"/>
        </w:rPr>
        <w:footnoteReference w:id="16"/>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17"/>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9D3075" w:rsidRPr="004C6C12" w:rsidRDefault="009D3075" w:rsidP="0072342E">
      <w:pPr>
        <w:pStyle w:val="a0"/>
      </w:pPr>
      <w:r w:rsidRPr="004C6C12">
        <w:lastRenderedPageBreak/>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p>
    <w:p w:rsidR="008835D2" w:rsidRPr="004C6C12" w:rsidRDefault="008835D2" w:rsidP="0072342E">
      <w:pPr>
        <w:pStyle w:val="a0"/>
        <w:numPr>
          <w:ilvl w:val="0"/>
          <w:numId w:val="0"/>
        </w:numPr>
        <w:ind w:left="360"/>
      </w:pPr>
    </w:p>
    <w:p w:rsidR="000E00C0" w:rsidRPr="00D817A7" w:rsidRDefault="000E00C0" w:rsidP="001C2B7D">
      <w:pPr>
        <w:keepLines/>
        <w:tabs>
          <w:tab w:val="left" w:pos="709"/>
        </w:tabs>
        <w:jc w:val="both"/>
        <w:rPr>
          <w:sz w:val="22"/>
          <w:szCs w:val="22"/>
        </w:rPr>
      </w:pPr>
    </w:p>
    <w:p w:rsidR="0089494F" w:rsidRDefault="0089494F" w:rsidP="001C2B7D">
      <w:pPr>
        <w:spacing w:after="24"/>
        <w:ind w:left="708"/>
      </w:pPr>
    </w:p>
    <w:p w:rsidR="000E00C0" w:rsidRPr="006749DA" w:rsidRDefault="000E00C0" w:rsidP="001C2B7D">
      <w:pPr>
        <w:spacing w:after="114"/>
        <w:ind w:right="54"/>
        <w:jc w:val="both"/>
        <w:rPr>
          <w:szCs w:val="24"/>
        </w:rPr>
      </w:pPr>
    </w:p>
    <w:p w:rsidR="00DF34AA" w:rsidRPr="007D0736" w:rsidRDefault="00DF34AA" w:rsidP="001C2B7D">
      <w:pPr>
        <w:pStyle w:val="a5"/>
        <w:keepLines/>
        <w:tabs>
          <w:tab w:val="left" w:pos="709"/>
        </w:tabs>
        <w:spacing w:after="0" w:line="240" w:lineRule="auto"/>
        <w:ind w:left="0"/>
        <w:jc w:val="both"/>
        <w:rPr>
          <w:rFonts w:ascii="Times New Roman" w:hAnsi="Times New Roman"/>
          <w:sz w:val="24"/>
          <w:szCs w:val="24"/>
        </w:rPr>
      </w:pPr>
      <w:r w:rsidRPr="00DF34AA">
        <w:rPr>
          <w:rFonts w:ascii="Times New Roman" w:hAnsi="Times New Roman"/>
        </w:rPr>
        <w:t xml:space="preserve"> </w:t>
      </w:r>
    </w:p>
    <w:p w:rsidR="00565927" w:rsidRDefault="00565927" w:rsidP="001C2B7D">
      <w:pPr>
        <w:keepLines/>
        <w:tabs>
          <w:tab w:val="left" w:pos="709"/>
        </w:tabs>
        <w:spacing w:before="120" w:after="120"/>
        <w:jc w:val="both"/>
        <w:rPr>
          <w:szCs w:val="24"/>
        </w:rPr>
      </w:pPr>
    </w:p>
    <w:p w:rsidR="00C41500" w:rsidRPr="00B602F2" w:rsidRDefault="000E00C0" w:rsidP="0072342E">
      <w:pPr>
        <w:pStyle w:val="affb"/>
        <w:rPr>
          <w:rFonts w:ascii="Times New Roman" w:hAnsi="Times New Roman"/>
        </w:rPr>
      </w:pPr>
      <w:r w:rsidRPr="00D817A7">
        <w:rPr>
          <w:rFonts w:eastAsia="Calibri"/>
          <w:lang w:eastAsia="en-US"/>
        </w:rPr>
        <w:br w:type="page"/>
      </w:r>
      <w:r w:rsidR="005D27E1">
        <w:rPr>
          <w:rFonts w:eastAsia="Calibri"/>
          <w:lang w:eastAsia="en-US"/>
        </w:rPr>
        <w:lastRenderedPageBreak/>
        <w:t xml:space="preserve">                                                                                                                               </w:t>
      </w:r>
      <w:bookmarkStart w:id="43"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3"/>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532BF0"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532BF0"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9"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90"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1"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2"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3"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4"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5"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6"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lastRenderedPageBreak/>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7"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8"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9" w:history="1">
        <w:r w:rsidRPr="001F6755">
          <w:rPr>
            <w:rFonts w:eastAsiaTheme="minorHAnsi"/>
            <w:color w:val="0000FF" w:themeColor="hyperlink"/>
            <w:szCs w:val="24"/>
            <w:u w:val="single"/>
            <w:lang w:eastAsia="en-US"/>
          </w:rPr>
          <w:t>https://bankruptcy.kommersant.ru</w:t>
        </w:r>
      </w:hyperlink>
    </w:p>
    <w:p w:rsidR="009F5BCD" w:rsidRPr="00BD0E66" w:rsidRDefault="001F6755" w:rsidP="0072342E">
      <w:pPr>
        <w:pStyle w:val="affb"/>
        <w:jc w:val="left"/>
        <w:rPr>
          <w:color w:val="000000"/>
          <w:szCs w:val="22"/>
        </w:rPr>
      </w:pPr>
      <w:r w:rsidRPr="001F6755">
        <w:rPr>
          <w:rFonts w:eastAsiaTheme="minorHAnsi"/>
          <w:lang w:eastAsia="en-US"/>
        </w:rPr>
        <w:br w:type="page"/>
      </w:r>
      <w:bookmarkStart w:id="44" w:name="_Toc66447217"/>
      <w:r w:rsidR="005D27E1">
        <w:lastRenderedPageBreak/>
        <w:t xml:space="preserve">                                                                                                                                 </w:t>
      </w:r>
      <w:bookmarkStart w:id="45" w:name="_Toc74043326"/>
      <w:r w:rsidR="009F5BCD" w:rsidRPr="00BD0E66">
        <w:t>Приложение 5</w:t>
      </w:r>
      <w:bookmarkEnd w:id="44"/>
      <w:r w:rsidR="009F5BCD" w:rsidRPr="00BD0E66">
        <w:t xml:space="preserve"> </w:t>
      </w:r>
      <w:bookmarkStart w:id="46" w:name="_Toc66447218"/>
      <w:r w:rsidR="009F5BCD" w:rsidRPr="00BD0E66">
        <w:rPr>
          <w:color w:val="000000"/>
          <w:szCs w:val="22"/>
        </w:rPr>
        <w:t>Определение соответствия уровню рейтинга через кредитный спред облигаций</w:t>
      </w:r>
      <w:bookmarkEnd w:id="45"/>
      <w:bookmarkEnd w:id="46"/>
      <w:r w:rsidR="009F5BCD" w:rsidRPr="00BD0E66">
        <w:rPr>
          <w:color w:val="000000"/>
          <w:szCs w:val="22"/>
        </w:rPr>
        <w:t xml:space="preserve"> </w:t>
      </w:r>
    </w:p>
    <w:p w:rsidR="009F5BCD" w:rsidRPr="009F5BCD" w:rsidRDefault="009F5BCD" w:rsidP="001C2B7D">
      <w:pPr>
        <w:spacing w:after="157"/>
        <w:rPr>
          <w:color w:val="000000"/>
          <w:szCs w:val="22"/>
        </w:rPr>
      </w:pPr>
      <w:r w:rsidRPr="009F5BCD">
        <w:rPr>
          <w:b/>
          <w:color w:val="000000"/>
          <w:szCs w:val="22"/>
        </w:rPr>
        <w:t xml:space="preserve"> </w:t>
      </w:r>
    </w:p>
    <w:p w:rsidR="009F5BCD" w:rsidRPr="009F5BCD" w:rsidRDefault="009F5BCD" w:rsidP="001C2B7D">
      <w:pPr>
        <w:spacing w:after="154"/>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1C2B7D">
      <w:pPr>
        <w:numPr>
          <w:ilvl w:val="0"/>
          <w:numId w:val="149"/>
        </w:numPr>
        <w:spacing w:after="52"/>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1C2B7D">
      <w:pPr>
        <w:numPr>
          <w:ilvl w:val="0"/>
          <w:numId w:val="149"/>
        </w:numPr>
        <w:spacing w:after="14"/>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8"/>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19"/>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1C2B7D">
      <w:pPr>
        <w:numPr>
          <w:ilvl w:val="1"/>
          <w:numId w:val="149"/>
        </w:numPr>
        <w:spacing w:after="8"/>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00">
        <w:r w:rsidRPr="009F5BCD">
          <w:rPr>
            <w:color w:val="000000"/>
            <w:szCs w:val="22"/>
          </w:rPr>
          <w:t xml:space="preserve"> </w:t>
        </w:r>
      </w:hyperlink>
      <w:hyperlink r:id="rId101">
        <w:r w:rsidRPr="009F5BCD">
          <w:rPr>
            <w:color w:val="000000"/>
            <w:szCs w:val="22"/>
            <w:u w:val="single" w:color="000000"/>
          </w:rPr>
          <w:t>http://moex.com/a2197</w:t>
        </w:r>
      </w:hyperlink>
      <w:hyperlink r:id="rId102">
        <w:r w:rsidRPr="009F5BCD">
          <w:rPr>
            <w:color w:val="000000"/>
            <w:szCs w:val="22"/>
          </w:rPr>
          <w:t>.</w:t>
        </w:r>
      </w:hyperlink>
      <w:r w:rsidRPr="009F5BCD">
        <w:rPr>
          <w:color w:val="000000"/>
          <w:szCs w:val="22"/>
        </w:rPr>
        <w:t xml:space="preserve"> </w:t>
      </w:r>
    </w:p>
    <w:p w:rsidR="009F5BCD" w:rsidRPr="009F5BCD" w:rsidRDefault="009F5BCD" w:rsidP="001C2B7D">
      <w:pPr>
        <w:spacing w:after="179"/>
        <w:ind w:left="989" w:right="54" w:hanging="10"/>
        <w:jc w:val="both"/>
        <w:rPr>
          <w:color w:val="000000"/>
          <w:szCs w:val="22"/>
        </w:rPr>
      </w:pPr>
      <w:r w:rsidRPr="009F5BCD">
        <w:rPr>
          <w:color w:val="000000"/>
          <w:szCs w:val="22"/>
        </w:rPr>
        <w:t>Архив значений -</w:t>
      </w:r>
      <w:hyperlink r:id="rId103">
        <w:r w:rsidRPr="009F5BCD">
          <w:rPr>
            <w:color w:val="000000"/>
            <w:szCs w:val="22"/>
          </w:rPr>
          <w:t xml:space="preserve"> </w:t>
        </w:r>
      </w:hyperlink>
      <w:hyperlink r:id="rId104">
        <w:r w:rsidRPr="009F5BCD">
          <w:rPr>
            <w:color w:val="000000"/>
            <w:szCs w:val="22"/>
            <w:u w:val="single" w:color="000000"/>
          </w:rPr>
          <w:t>http://moex.com/ru/index/RUCBITRBBB3Y/archive</w:t>
        </w:r>
      </w:hyperlink>
      <w:hyperlink r:id="rId105">
        <w:r w:rsidRPr="009F5BCD">
          <w:rPr>
            <w:color w:val="000000"/>
            <w:szCs w:val="22"/>
          </w:rPr>
          <w:t xml:space="preserve"> </w:t>
        </w:r>
      </w:hyperlink>
    </w:p>
    <w:p w:rsidR="009F5BCD" w:rsidRPr="009F5BCD" w:rsidRDefault="009F5BCD" w:rsidP="001C2B7D">
      <w:pPr>
        <w:numPr>
          <w:ilvl w:val="1"/>
          <w:numId w:val="149"/>
        </w:numPr>
        <w:spacing w:after="75"/>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1C2B7D">
      <w:pPr>
        <w:spacing w:after="133"/>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 xml:space="preserve">Описание индекса -  </w:t>
      </w:r>
      <w:hyperlink r:id="rId106">
        <w:r w:rsidRPr="009F5BCD">
          <w:rPr>
            <w:color w:val="000000"/>
            <w:szCs w:val="22"/>
            <w:u w:val="single" w:color="000000"/>
          </w:rPr>
          <w:t>http://moex.com/a2196</w:t>
        </w:r>
      </w:hyperlink>
      <w:hyperlink r:id="rId107">
        <w:r w:rsidRPr="009F5BCD">
          <w:rPr>
            <w:color w:val="000000"/>
            <w:szCs w:val="22"/>
          </w:rPr>
          <w:t xml:space="preserve"> </w:t>
        </w:r>
      </w:hyperlink>
    </w:p>
    <w:p w:rsidR="009F5BCD" w:rsidRPr="009F5BCD" w:rsidRDefault="009F5BCD" w:rsidP="001C2B7D">
      <w:pPr>
        <w:spacing w:after="176"/>
        <w:ind w:left="989" w:right="54" w:hanging="10"/>
        <w:jc w:val="both"/>
        <w:rPr>
          <w:color w:val="000000"/>
          <w:szCs w:val="22"/>
        </w:rPr>
      </w:pPr>
      <w:r w:rsidRPr="009F5BCD">
        <w:rPr>
          <w:color w:val="000000"/>
          <w:szCs w:val="22"/>
        </w:rPr>
        <w:t>Архив значений -</w:t>
      </w:r>
      <w:hyperlink r:id="rId108">
        <w:r w:rsidRPr="009F5BCD">
          <w:rPr>
            <w:color w:val="000000"/>
            <w:szCs w:val="22"/>
          </w:rPr>
          <w:t xml:space="preserve"> </w:t>
        </w:r>
      </w:hyperlink>
      <w:hyperlink r:id="rId109">
        <w:r w:rsidRPr="009F5BCD">
          <w:rPr>
            <w:color w:val="000000"/>
            <w:szCs w:val="22"/>
            <w:u w:val="single" w:color="000000"/>
          </w:rPr>
          <w:t>http://moex.com/ru/index/RUCBITRBB3Y/archive</w:t>
        </w:r>
      </w:hyperlink>
      <w:hyperlink r:id="rId110">
        <w:r w:rsidRPr="009F5BCD">
          <w:rPr>
            <w:color w:val="000000"/>
            <w:szCs w:val="22"/>
          </w:rPr>
          <w:t xml:space="preserve"> </w:t>
        </w:r>
      </w:hyperlink>
    </w:p>
    <w:p w:rsidR="009F5BCD" w:rsidRPr="009F5BCD" w:rsidRDefault="009F5BCD" w:rsidP="001C2B7D">
      <w:pPr>
        <w:numPr>
          <w:ilvl w:val="1"/>
          <w:numId w:val="149"/>
        </w:numPr>
        <w:spacing w:after="76"/>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1C2B7D">
      <w:pPr>
        <w:spacing w:after="134"/>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11">
        <w:r w:rsidRPr="009F5BCD">
          <w:rPr>
            <w:color w:val="000000"/>
            <w:szCs w:val="22"/>
          </w:rPr>
          <w:t xml:space="preserve"> </w:t>
        </w:r>
      </w:hyperlink>
      <w:hyperlink r:id="rId112">
        <w:r w:rsidRPr="009F5BCD">
          <w:rPr>
            <w:color w:val="000000"/>
            <w:szCs w:val="22"/>
            <w:u w:val="single" w:color="000000"/>
          </w:rPr>
          <w:t>http://moex.com/a2195</w:t>
        </w:r>
      </w:hyperlink>
      <w:hyperlink r:id="rId113">
        <w:r w:rsidRPr="009F5BCD">
          <w:rPr>
            <w:color w:val="000000"/>
            <w:szCs w:val="22"/>
          </w:rPr>
          <w:t xml:space="preserve"> </w:t>
        </w:r>
      </w:hyperlink>
    </w:p>
    <w:p w:rsidR="009F5BCD" w:rsidRPr="009F5BCD" w:rsidRDefault="009F5BCD" w:rsidP="001C2B7D">
      <w:pPr>
        <w:spacing w:after="162"/>
        <w:ind w:left="989" w:right="54" w:hanging="10"/>
        <w:jc w:val="both"/>
        <w:rPr>
          <w:color w:val="000000"/>
          <w:szCs w:val="22"/>
        </w:rPr>
      </w:pPr>
      <w:r w:rsidRPr="009F5BCD">
        <w:rPr>
          <w:color w:val="000000"/>
          <w:szCs w:val="22"/>
        </w:rPr>
        <w:t>Архив значений -</w:t>
      </w:r>
      <w:hyperlink r:id="rId114">
        <w:r w:rsidRPr="009F5BCD">
          <w:rPr>
            <w:color w:val="000000"/>
            <w:szCs w:val="22"/>
          </w:rPr>
          <w:t xml:space="preserve"> </w:t>
        </w:r>
      </w:hyperlink>
      <w:hyperlink r:id="rId115">
        <w:r w:rsidRPr="009F5BCD">
          <w:rPr>
            <w:color w:val="000000"/>
            <w:szCs w:val="22"/>
            <w:u w:val="single" w:color="000000"/>
          </w:rPr>
          <w:t>http://moex.com/ru/index/RUCBITRB3Y/archive/</w:t>
        </w:r>
      </w:hyperlink>
      <w:hyperlink r:id="rId116">
        <w:r w:rsidRPr="009F5BCD">
          <w:rPr>
            <w:color w:val="000000"/>
            <w:szCs w:val="22"/>
          </w:rPr>
          <w:t xml:space="preserve"> </w:t>
        </w:r>
      </w:hyperlink>
    </w:p>
    <w:p w:rsidR="009F5BCD" w:rsidRDefault="009F5BCD" w:rsidP="001C2B7D">
      <w:pPr>
        <w:numPr>
          <w:ilvl w:val="0"/>
          <w:numId w:val="149"/>
        </w:numPr>
        <w:spacing w:after="52"/>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p w:rsidR="009E392C" w:rsidRDefault="009E392C" w:rsidP="009E392C">
      <w:pPr>
        <w:spacing w:after="52"/>
        <w:ind w:right="54"/>
        <w:jc w:val="both"/>
        <w:rPr>
          <w:color w:val="000000"/>
          <w:szCs w:val="22"/>
        </w:rPr>
      </w:pPr>
    </w:p>
    <w:p w:rsidR="009E392C" w:rsidRDefault="009E392C" w:rsidP="009E392C">
      <w:pPr>
        <w:spacing w:after="52"/>
        <w:ind w:right="54"/>
        <w:jc w:val="both"/>
        <w:rPr>
          <w:color w:val="000000"/>
          <w:szCs w:val="22"/>
        </w:rPr>
      </w:pPr>
    </w:p>
    <w:p w:rsidR="009E392C" w:rsidRPr="009F5BCD" w:rsidRDefault="009E392C" w:rsidP="009E392C">
      <w:pPr>
        <w:spacing w:after="52"/>
        <w:ind w:right="54"/>
        <w:jc w:val="both"/>
        <w:rPr>
          <w:color w:val="000000"/>
          <w:szCs w:val="22"/>
        </w:rPr>
      </w:pP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9E392C" w:rsidRPr="001E1A10" w:rsidTr="009E392C">
        <w:trPr>
          <w:trHeight w:val="1285"/>
        </w:trPr>
        <w:tc>
          <w:tcPr>
            <w:tcW w:w="3523" w:type="dxa"/>
            <w:tcBorders>
              <w:top w:val="single" w:sz="4" w:space="0" w:color="000000"/>
              <w:left w:val="single" w:sz="4" w:space="0" w:color="000000"/>
              <w:right w:val="single" w:sz="8" w:space="0" w:color="000000"/>
            </w:tcBorders>
            <w:shd w:val="clear" w:color="auto" w:fill="D8D8D8"/>
            <w:vAlign w:val="center"/>
          </w:tcPr>
          <w:p w:rsidR="009E392C" w:rsidRPr="001E1A10" w:rsidRDefault="009E392C" w:rsidP="001C2B7D">
            <w:pPr>
              <w:ind w:right="7"/>
              <w:jc w:val="center"/>
              <w:rPr>
                <w:color w:val="000000"/>
              </w:rPr>
            </w:pPr>
            <w:r>
              <w:rPr>
                <w:b/>
                <w:color w:val="000000"/>
              </w:rPr>
              <w:lastRenderedPageBreak/>
              <w:t>Эксперт РА</w:t>
            </w:r>
          </w:p>
        </w:tc>
        <w:tc>
          <w:tcPr>
            <w:tcW w:w="5192" w:type="dxa"/>
            <w:tcBorders>
              <w:top w:val="single" w:sz="4" w:space="0" w:color="000000"/>
              <w:left w:val="single" w:sz="8" w:space="0" w:color="000000"/>
              <w:bottom w:val="single" w:sz="8" w:space="0" w:color="000000"/>
              <w:right w:val="single" w:sz="4" w:space="0" w:color="000000"/>
            </w:tcBorders>
            <w:shd w:val="clear" w:color="auto" w:fill="F2F2F2"/>
            <w:vAlign w:val="center"/>
          </w:tcPr>
          <w:p w:rsidR="009E392C" w:rsidRPr="001E1A10" w:rsidRDefault="009E392C" w:rsidP="001C2B7D">
            <w:pPr>
              <w:jc w:val="center"/>
              <w:rPr>
                <w:color w:val="000000"/>
              </w:rPr>
            </w:pPr>
            <w:r w:rsidRPr="001E1A10">
              <w:rPr>
                <w:b/>
                <w:color w:val="000000"/>
              </w:rPr>
              <w:t>Индекс</w:t>
            </w:r>
          </w:p>
        </w:tc>
      </w:tr>
      <w:tr w:rsidR="00BB28BA" w:rsidRPr="001E1A10" w:rsidTr="00BB28BA">
        <w:trPr>
          <w:trHeight w:val="636"/>
        </w:trPr>
        <w:tc>
          <w:tcPr>
            <w:tcW w:w="3523" w:type="dxa"/>
            <w:tcBorders>
              <w:top w:val="single" w:sz="8" w:space="0" w:color="000000"/>
              <w:left w:val="single" w:sz="4" w:space="0" w:color="000000"/>
              <w:right w:val="single" w:sz="4" w:space="0" w:color="auto"/>
            </w:tcBorders>
            <w:shd w:val="clear" w:color="auto" w:fill="DEEAF6"/>
            <w:vAlign w:val="center"/>
          </w:tcPr>
          <w:p w:rsidR="00BB28BA" w:rsidRPr="00BB28BA" w:rsidRDefault="00BB28BA" w:rsidP="001C2B7D">
            <w:pPr>
              <w:ind w:right="6"/>
              <w:jc w:val="center"/>
              <w:rPr>
                <w:color w:val="000000"/>
                <w:lang w:val="en-US"/>
              </w:rPr>
            </w:pPr>
            <w:r>
              <w:rPr>
                <w:color w:val="000000"/>
                <w:lang w:val="en-US"/>
              </w:rPr>
              <w:t>ruAAA</w:t>
            </w:r>
          </w:p>
        </w:tc>
        <w:tc>
          <w:tcPr>
            <w:tcW w:w="5192" w:type="dxa"/>
            <w:tcBorders>
              <w:top w:val="single" w:sz="4" w:space="0" w:color="auto"/>
              <w:left w:val="single" w:sz="4" w:space="0" w:color="auto"/>
              <w:bottom w:val="single" w:sz="4" w:space="0" w:color="auto"/>
              <w:right w:val="single" w:sz="4" w:space="0" w:color="auto"/>
            </w:tcBorders>
            <w:shd w:val="clear" w:color="auto" w:fill="DEEAF6"/>
            <w:vAlign w:val="center"/>
          </w:tcPr>
          <w:p w:rsidR="00BB28BA" w:rsidRPr="001E1A10" w:rsidRDefault="00BB28BA" w:rsidP="001C2B7D">
            <w:pPr>
              <w:ind w:right="4"/>
              <w:jc w:val="center"/>
              <w:rPr>
                <w:color w:val="000000"/>
              </w:rPr>
            </w:pPr>
            <w:r w:rsidRPr="001E1A10">
              <w:rPr>
                <w:b/>
                <w:color w:val="000000"/>
              </w:rPr>
              <w:t>RUCBITRBBB3Y</w:t>
            </w:r>
          </w:p>
        </w:tc>
      </w:tr>
      <w:tr w:rsidR="001E1A10"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1E1A10" w:rsidRPr="00BB28BA" w:rsidRDefault="00BB28BA" w:rsidP="001C2B7D">
            <w:pPr>
              <w:ind w:right="6"/>
              <w:jc w:val="center"/>
              <w:rPr>
                <w:color w:val="000000"/>
                <w:lang w:val="en-US"/>
              </w:rPr>
            </w:pPr>
            <w:r w:rsidRPr="00BB28BA">
              <w:rPr>
                <w:color w:val="000000"/>
                <w:lang w:val="en-US"/>
              </w:rPr>
              <w:t>ruAA+, ruAA</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1E1A10" w:rsidRPr="001E1A10" w:rsidRDefault="001E1A10" w:rsidP="001C2B7D">
            <w:pPr>
              <w:ind w:right="1"/>
              <w:jc w:val="center"/>
              <w:rPr>
                <w:color w:val="000000"/>
              </w:rPr>
            </w:pPr>
            <w:r w:rsidRPr="001E1A10">
              <w:rPr>
                <w:b/>
                <w:color w:val="000000"/>
              </w:rPr>
              <w:t>RUCBITRBB3Y</w:t>
            </w: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29"/>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ruBBB</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B28BA" w:rsidRPr="001E1A10" w:rsidRDefault="00BB28BA" w:rsidP="001C2B7D">
            <w:pPr>
              <w:ind w:right="2"/>
              <w:jc w:val="center"/>
              <w:rPr>
                <w:color w:val="000000"/>
              </w:rPr>
            </w:pPr>
            <w:r w:rsidRPr="001E1A10">
              <w:rPr>
                <w:b/>
                <w:color w:val="000000"/>
              </w:rPr>
              <w:t>RUCBITRB3Y</w:t>
            </w:r>
          </w:p>
        </w:tc>
      </w:tr>
      <w:tr w:rsidR="00BB28BA" w:rsidRPr="001E1A10" w:rsidTr="009E392C">
        <w:trPr>
          <w:trHeight w:val="629"/>
        </w:trPr>
        <w:tc>
          <w:tcPr>
            <w:tcW w:w="3523" w:type="dxa"/>
            <w:tcBorders>
              <w:top w:val="single" w:sz="4" w:space="0" w:color="000000"/>
              <w:left w:val="single" w:sz="4" w:space="0" w:color="000000"/>
              <w:bottom w:val="single" w:sz="8"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r w:rsidR="00BB28BA" w:rsidRPr="001E1A10" w:rsidTr="009E392C">
        <w:trPr>
          <w:trHeight w:val="628"/>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bl>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9F5BCD" w:rsidRDefault="009F5BCD"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1E1A10" w:rsidRDefault="001E1A10" w:rsidP="0072342E">
      <w:pPr>
        <w:jc w:val="both"/>
        <w:rPr>
          <w:rFonts w:eastAsia="Calibri"/>
          <w:szCs w:val="24"/>
          <w:lang w:eastAsia="en-US"/>
        </w:rPr>
      </w:pPr>
    </w:p>
    <w:p w:rsidR="00AC6698" w:rsidRDefault="00AC6698"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560B3F" w:rsidRDefault="00560B3F" w:rsidP="0072342E">
      <w:pPr>
        <w:jc w:val="both"/>
        <w:rPr>
          <w:rFonts w:eastAsia="Calibri"/>
          <w:szCs w:val="24"/>
          <w:lang w:eastAsia="en-US"/>
        </w:rPr>
      </w:pPr>
    </w:p>
    <w:p w:rsidR="009F5BCD" w:rsidRPr="005D27E1" w:rsidRDefault="005D27E1" w:rsidP="0072342E">
      <w:pPr>
        <w:pStyle w:val="affb"/>
        <w:jc w:val="left"/>
      </w:pPr>
      <w:r>
        <w:lastRenderedPageBreak/>
        <w:t xml:space="preserve">                                                                                                                          </w:t>
      </w:r>
      <w:bookmarkStart w:id="47" w:name="_Toc74043327"/>
      <w:r w:rsidR="003A6C53" w:rsidRPr="005D27E1">
        <w:t xml:space="preserve">Приложение </w:t>
      </w:r>
      <w:r w:rsidR="009F5BCD" w:rsidRPr="005D27E1">
        <w:t>6</w:t>
      </w:r>
      <w:r w:rsidRPr="005D27E1">
        <w:t xml:space="preserve"> </w:t>
      </w:r>
      <w:r w:rsidR="009F5BCD" w:rsidRPr="005D27E1">
        <w:t>Вероятности дефолта для организаций МСБ</w:t>
      </w:r>
      <w:bookmarkEnd w:id="47"/>
      <w:r w:rsidR="009F5BCD"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lastRenderedPageBreak/>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lastRenderedPageBreak/>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lastRenderedPageBreak/>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9F5BCD" w:rsidRPr="009F5BCD" w:rsidRDefault="009F5BCD" w:rsidP="001C2B7D">
      <w:pPr>
        <w:spacing w:after="4457"/>
        <w:ind w:left="1499"/>
        <w:jc w:val="center"/>
        <w:rPr>
          <w:b/>
          <w:color w:val="000000"/>
          <w:szCs w:val="22"/>
        </w:rPr>
      </w:pPr>
    </w:p>
    <w:p w:rsidR="003A6C53" w:rsidRDefault="003A6C53" w:rsidP="0072342E">
      <w:pPr>
        <w:jc w:val="both"/>
        <w:rPr>
          <w:rFonts w:eastAsia="Calibri"/>
          <w:szCs w:val="24"/>
          <w:lang w:eastAsia="en-US"/>
        </w:rPr>
      </w:pPr>
    </w:p>
    <w:p w:rsidR="00AC6698" w:rsidRDefault="00AC6698" w:rsidP="0072342E">
      <w:pPr>
        <w:jc w:val="both"/>
        <w:rPr>
          <w:rFonts w:eastAsia="Calibri"/>
          <w:szCs w:val="24"/>
          <w:lang w:eastAsia="en-US"/>
        </w:rPr>
      </w:pPr>
    </w:p>
    <w:p w:rsidR="00AC6698" w:rsidRDefault="00AC6698" w:rsidP="0072342E">
      <w:pPr>
        <w:jc w:val="both"/>
        <w:rPr>
          <w:rFonts w:eastAsia="Calibri"/>
          <w:szCs w:val="24"/>
          <w:lang w:eastAsia="en-US"/>
        </w:rPr>
      </w:pPr>
    </w:p>
    <w:p w:rsidR="00AC6698" w:rsidRDefault="00AC6698" w:rsidP="0072342E">
      <w:pPr>
        <w:jc w:val="both"/>
        <w:rPr>
          <w:rFonts w:eastAsia="Calibri"/>
          <w:szCs w:val="24"/>
          <w:lang w:eastAsia="en-US"/>
        </w:rPr>
        <w:sectPr w:rsidR="00AC6698" w:rsidSect="00207827">
          <w:footerReference w:type="default" r:id="rId117"/>
          <w:pgSz w:w="11906" w:h="16838"/>
          <w:pgMar w:top="1134" w:right="851" w:bottom="851" w:left="1758" w:header="709" w:footer="709" w:gutter="0"/>
          <w:cols w:space="708"/>
          <w:docGrid w:linePitch="360"/>
        </w:sectPr>
      </w:pPr>
    </w:p>
    <w:p w:rsidR="00AC6698" w:rsidRPr="00AC6698" w:rsidRDefault="005D27E1" w:rsidP="0072342E">
      <w:pPr>
        <w:pStyle w:val="affb"/>
        <w:jc w:val="left"/>
        <w:rPr>
          <w:rFonts w:eastAsia="Calibri"/>
          <w:lang w:eastAsia="en-US"/>
        </w:rPr>
      </w:pPr>
      <w:r>
        <w:lastRenderedPageBreak/>
        <w:t xml:space="preserve">                                                                                                                                                                                                         </w:t>
      </w:r>
      <w:bookmarkStart w:id="48" w:name="_Toc74043328"/>
      <w:r w:rsidR="00AC6698" w:rsidRPr="00207827">
        <w:t xml:space="preserve">Приложение </w:t>
      </w:r>
      <w:r w:rsidR="00AC6698">
        <w:t>7</w:t>
      </w:r>
      <w:r>
        <w:t xml:space="preserve"> </w:t>
      </w:r>
      <w:r w:rsidR="00AC6698" w:rsidRPr="00AC6698">
        <w:rPr>
          <w:rFonts w:eastAsia="Calibri"/>
          <w:lang w:eastAsia="en-US"/>
        </w:rPr>
        <w:t>Классификация и порядок оценки операционной дебиторской задолженности</w:t>
      </w:r>
      <w:bookmarkEnd w:id="48"/>
      <w:r w:rsidR="00AC6698"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AC6698" w:rsidRPr="00AC6698" w:rsidRDefault="00AC6698" w:rsidP="001C2B7D">
      <w:pPr>
        <w:numPr>
          <w:ilvl w:val="0"/>
          <w:numId w:val="151"/>
        </w:numPr>
        <w:spacing w:after="76"/>
        <w:ind w:right="45" w:hanging="360"/>
        <w:jc w:val="both"/>
        <w:rPr>
          <w:color w:val="000000"/>
          <w:szCs w:val="22"/>
        </w:rPr>
      </w:pPr>
      <w:r w:rsidRPr="00AC6698">
        <w:rPr>
          <w:color w:val="000000"/>
          <w:szCs w:val="22"/>
        </w:rPr>
        <w:lastRenderedPageBreak/>
        <w:t xml:space="preserve">необходимость изменения подхода к учету дебиторской задолженности, ранее признанной операционной. </w:t>
      </w:r>
    </w:p>
    <w:p w:rsidR="00AC6698" w:rsidRPr="00AC6698" w:rsidRDefault="00AC6698" w:rsidP="001C2B7D">
      <w:pPr>
        <w:spacing w:after="168"/>
        <w:ind w:left="720"/>
        <w:rPr>
          <w:color w:val="000000"/>
          <w:szCs w:val="22"/>
        </w:rPr>
      </w:pPr>
      <w:r w:rsidRPr="00AC6698">
        <w:rPr>
          <w:color w:val="000000"/>
          <w:szCs w:val="22"/>
        </w:rPr>
        <w:t xml:space="preserve"> </w:t>
      </w:r>
    </w:p>
    <w:p w:rsidR="00AC6698" w:rsidRPr="00AC6698" w:rsidRDefault="00AC6698" w:rsidP="001C2B7D">
      <w:pPr>
        <w:ind w:left="3416"/>
        <w:rPr>
          <w:color w:val="000000"/>
          <w:szCs w:val="22"/>
        </w:rPr>
      </w:pPr>
      <w:r w:rsidRPr="00AC6698">
        <w:rPr>
          <w:b/>
          <w:color w:val="000000"/>
          <w:szCs w:val="22"/>
        </w:rPr>
        <w:t xml:space="preserve">Виды,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AC6698"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8"/>
              <w:jc w:val="center"/>
              <w:rPr>
                <w:color w:val="000000"/>
              </w:rPr>
            </w:pPr>
            <w:r w:rsidRPr="00AC6698">
              <w:rPr>
                <w:b/>
                <w:color w:val="00000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b/>
                <w:color w:val="00000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1C2B7D">
            <w:pPr>
              <w:spacing w:after="51"/>
              <w:jc w:val="center"/>
              <w:rPr>
                <w:color w:val="000000"/>
              </w:rPr>
            </w:pPr>
            <w:r w:rsidRPr="00AC6698">
              <w:rPr>
                <w:b/>
                <w:color w:val="000000"/>
              </w:rPr>
              <w:t xml:space="preserve">Срок операционного цикла, являющийся нормальной практикой исполнения </w:t>
            </w:r>
          </w:p>
          <w:p w:rsidR="00AC6698" w:rsidRPr="00AC6698" w:rsidRDefault="00AC6698" w:rsidP="0072342E">
            <w:pPr>
              <w:spacing w:after="25"/>
              <w:ind w:left="17"/>
              <w:rPr>
                <w:color w:val="000000"/>
              </w:rPr>
            </w:pPr>
            <w:r w:rsidRPr="00AC6698">
              <w:rPr>
                <w:b/>
                <w:color w:val="000000"/>
              </w:rPr>
              <w:t xml:space="preserve">обязательств контрагентом (допустимый </w:t>
            </w:r>
          </w:p>
          <w:p w:rsidR="00AC6698" w:rsidRPr="00AC6698" w:rsidRDefault="00AC6698" w:rsidP="0072342E">
            <w:pPr>
              <w:jc w:val="center"/>
              <w:rPr>
                <w:color w:val="000000"/>
              </w:rPr>
            </w:pPr>
            <w:r w:rsidRPr="00AC6698">
              <w:rPr>
                <w:b/>
                <w:color w:val="000000"/>
              </w:rPr>
              <w:t xml:space="preserve">срок нарушения условий исполнения обязательств контрагентом) </w:t>
            </w:r>
          </w:p>
        </w:tc>
      </w:tr>
      <w:tr w:rsidR="00AC6698" w:rsidRPr="00AC6698"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6"/>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Дебиторская задолженность по выплате дивидендов по акциям, депозитарным распискам российских эмитентов</w:t>
            </w:r>
            <w:r w:rsidR="0056746E">
              <w:rPr>
                <w:color w:val="000000"/>
              </w:rPr>
              <w:t>, доходам по паям паевых инвестиционных фондов</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25 рабочих дней с даты признания дебиторской задолженности</w:t>
            </w:r>
            <w:r w:rsidRPr="00AC6698">
              <w:rPr>
                <w:i/>
                <w:color w:val="000000"/>
              </w:rPr>
              <w:t xml:space="preserve"> </w:t>
            </w:r>
          </w:p>
        </w:tc>
      </w:tr>
      <w:tr w:rsidR="00AC6698" w:rsidRPr="00AC6698"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1C2B7D">
            <w:pPr>
              <w:jc w:val="center"/>
              <w:rPr>
                <w:color w:val="000000"/>
              </w:rPr>
            </w:pPr>
            <w:r w:rsidRPr="00AC6698">
              <w:rPr>
                <w:color w:val="000000"/>
              </w:rPr>
              <w:t xml:space="preserve">стандартно - 25 рабочих дней с даты признания дебиторской задолженности* </w:t>
            </w:r>
          </w:p>
          <w:p w:rsidR="00AC6698" w:rsidRPr="00AC6698" w:rsidRDefault="00AC6698" w:rsidP="0072342E">
            <w:pPr>
              <w:spacing w:after="22"/>
              <w:ind w:left="4"/>
              <w:jc w:val="center"/>
              <w:rPr>
                <w:color w:val="000000"/>
              </w:rPr>
            </w:pPr>
            <w:r w:rsidRPr="00AC6698">
              <w:rPr>
                <w:color w:val="000000"/>
              </w:rPr>
              <w:t xml:space="preserve"> </w:t>
            </w:r>
          </w:p>
          <w:p w:rsidR="00AC6698" w:rsidRPr="00AC6698" w:rsidRDefault="00AC6698" w:rsidP="0072342E">
            <w:pPr>
              <w:ind w:left="60"/>
              <w:rPr>
                <w:color w:val="000000"/>
              </w:rPr>
            </w:pPr>
            <w:r w:rsidRPr="00AC6698">
              <w:rPr>
                <w:i/>
                <w:color w:val="000000"/>
              </w:rPr>
              <w:t xml:space="preserve">*опционально: срок может быть увеличен </w:t>
            </w:r>
          </w:p>
        </w:tc>
      </w:tr>
      <w:tr w:rsidR="00AC6698" w:rsidRPr="00AC6698"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67"/>
              <w:jc w:val="center"/>
              <w:rPr>
                <w:color w:val="000000"/>
              </w:rPr>
            </w:pPr>
            <w:r w:rsidRPr="00AC6698">
              <w:rPr>
                <w:i/>
                <w:color w:val="000000"/>
              </w:rPr>
              <w:t xml:space="preserve">для дебиторской задолженности по </w:t>
            </w:r>
          </w:p>
          <w:p w:rsidR="00AC6698" w:rsidRPr="00AC6698" w:rsidRDefault="00AC6698" w:rsidP="0072342E">
            <w:pPr>
              <w:ind w:left="103"/>
              <w:rPr>
                <w:color w:val="000000"/>
              </w:rPr>
            </w:pPr>
            <w:r w:rsidRPr="00AC6698">
              <w:rPr>
                <w:i/>
                <w:color w:val="000000"/>
              </w:rPr>
              <w:t xml:space="preserve">иностранным долевым активам, в случае, </w:t>
            </w:r>
          </w:p>
          <w:p w:rsidR="00AC6698" w:rsidRPr="00AC6698" w:rsidRDefault="00AC6698" w:rsidP="0072342E">
            <w:pPr>
              <w:jc w:val="center"/>
              <w:rPr>
                <w:color w:val="000000"/>
              </w:rPr>
            </w:pPr>
            <w:r w:rsidRPr="00AC6698">
              <w:rPr>
                <w:i/>
                <w:color w:val="000000"/>
              </w:rPr>
              <w:t xml:space="preserve">если есть подтверждения необходимости увеличения такого срока статистикой УК. </w:t>
            </w:r>
          </w:p>
        </w:tc>
      </w:tr>
      <w:tr w:rsidR="00AC6698" w:rsidRPr="00AC6698"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p w:rsidR="00AC6698" w:rsidRPr="00AC6698" w:rsidRDefault="00AC6698" w:rsidP="0072342E">
            <w:pPr>
              <w:ind w:right="3"/>
              <w:jc w:val="center"/>
              <w:rPr>
                <w:color w:val="000000"/>
              </w:rPr>
            </w:pPr>
            <w:r w:rsidRPr="00AC6698">
              <w:rPr>
                <w:color w:val="000000"/>
              </w:rPr>
              <w:t xml:space="preserve"> </w:t>
            </w:r>
          </w:p>
          <w:p w:rsidR="00AC6698" w:rsidRPr="00AC6698" w:rsidRDefault="00AC6698" w:rsidP="0072342E">
            <w:pPr>
              <w:jc w:val="center"/>
              <w:rPr>
                <w:color w:val="000000"/>
              </w:rPr>
            </w:pPr>
            <w:r w:rsidRPr="00AC6698">
              <w:rPr>
                <w:color w:val="00000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7"/>
              <w:jc w:val="center"/>
              <w:rPr>
                <w:color w:val="000000"/>
              </w:rPr>
            </w:pPr>
            <w:r w:rsidRPr="00AC6698">
              <w:rPr>
                <w:color w:val="000000"/>
              </w:rPr>
              <w:t xml:space="preserve"> </w:t>
            </w:r>
          </w:p>
          <w:p w:rsidR="00AC6698" w:rsidRPr="00AC6698" w:rsidRDefault="00AC6698" w:rsidP="0072342E">
            <w:pPr>
              <w:jc w:val="center"/>
              <w:rPr>
                <w:color w:val="000000"/>
              </w:rPr>
            </w:pPr>
            <w:r w:rsidRPr="00AC6698">
              <w:rPr>
                <w:color w:val="000000"/>
              </w:rPr>
              <w:t xml:space="preserve">обесценение производится с первого дня просрочки обязательств обществом </w:t>
            </w:r>
          </w:p>
        </w:tc>
      </w:tr>
      <w:tr w:rsidR="00AC6698" w:rsidRPr="00AC6698"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right="3"/>
              <w:jc w:val="center"/>
              <w:rPr>
                <w:color w:val="000000"/>
              </w:rPr>
            </w:pPr>
            <w:r w:rsidRPr="00AC6698">
              <w:rPr>
                <w:color w:val="000000"/>
              </w:rPr>
              <w:t xml:space="preserve"> </w:t>
            </w:r>
          </w:p>
          <w:p w:rsidR="00AC6698" w:rsidRPr="00AC6698" w:rsidRDefault="00AC6698" w:rsidP="0072342E">
            <w:pPr>
              <w:ind w:left="2" w:right="119" w:firstLine="48"/>
              <w:rPr>
                <w:color w:val="000000"/>
              </w:rPr>
            </w:pPr>
            <w:r w:rsidRPr="00AC6698">
              <w:rPr>
                <w:color w:val="000000"/>
              </w:rPr>
              <w:t xml:space="preserve">Срок погашения задолженности не превышает 10 рабочих дней с даты окончания арендного периода* </w:t>
            </w:r>
            <w:r w:rsidRPr="00AC6698">
              <w:rPr>
                <w:i/>
                <w:color w:val="00000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AC6698">
              <w:rPr>
                <w:color w:val="00000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1C2B7D">
            <w:pPr>
              <w:spacing w:after="45"/>
              <w:jc w:val="center"/>
              <w:rPr>
                <w:color w:val="000000"/>
              </w:rPr>
            </w:pPr>
            <w:r w:rsidRPr="00AC6698">
              <w:rPr>
                <w:color w:val="000000"/>
              </w:rPr>
              <w:t xml:space="preserve">10 рабочих дней с даты наступления срока исполнения обязательств, согласно условий </w:t>
            </w:r>
          </w:p>
          <w:p w:rsidR="00AC6698" w:rsidRPr="00AC6698" w:rsidRDefault="00AC6698" w:rsidP="0072342E">
            <w:pPr>
              <w:ind w:right="68"/>
              <w:jc w:val="center"/>
              <w:rPr>
                <w:color w:val="000000"/>
              </w:rPr>
            </w:pPr>
            <w:r w:rsidRPr="00AC6698">
              <w:rPr>
                <w:color w:val="000000"/>
              </w:rPr>
              <w:t xml:space="preserve">договора </w:t>
            </w:r>
          </w:p>
        </w:tc>
      </w:tr>
      <w:tr w:rsidR="00AC6698" w:rsidRPr="00AC6698"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jc w:val="center"/>
              <w:rPr>
                <w:color w:val="000000"/>
              </w:rPr>
            </w:pPr>
            <w:r w:rsidRPr="00AC6698">
              <w:rPr>
                <w:color w:val="000000"/>
              </w:rPr>
              <w:t xml:space="preserve">обесценение производится с первого дня просрочки обязательств банком </w:t>
            </w:r>
          </w:p>
        </w:tc>
      </w:tr>
      <w:tr w:rsidR="00AC6698" w:rsidRPr="00AC6698"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left="2"/>
              <w:rPr>
                <w:color w:val="000000"/>
              </w:rPr>
            </w:pPr>
            <w:r w:rsidRPr="00AC6698">
              <w:rPr>
                <w:color w:val="000000"/>
              </w:rPr>
              <w:t xml:space="preserve">Отсутствие признаков обесценения; </w:t>
            </w:r>
          </w:p>
          <w:p w:rsidR="00AC6698" w:rsidRPr="00AC6698" w:rsidRDefault="00AC6698" w:rsidP="0072342E">
            <w:pPr>
              <w:ind w:left="2"/>
              <w:rPr>
                <w:color w:val="000000"/>
              </w:rPr>
            </w:pPr>
            <w:r w:rsidRPr="00AC6698">
              <w:rPr>
                <w:color w:val="00000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rPr>
                <w:color w:val="000000"/>
              </w:rPr>
            </w:pPr>
            <w:r w:rsidRPr="00AC6698">
              <w:rPr>
                <w:color w:val="000000"/>
                <w:u w:val="single" w:color="000000"/>
              </w:rPr>
              <w:lastRenderedPageBreak/>
              <w:t>Авансы, выданные по сделкам за счет</w:t>
            </w:r>
            <w:r w:rsidRPr="00AC6698">
              <w:rPr>
                <w:color w:val="000000"/>
              </w:rPr>
              <w:t xml:space="preserve"> </w:t>
            </w:r>
            <w:r w:rsidRPr="00AC6698">
              <w:rPr>
                <w:color w:val="000000"/>
                <w:u w:val="single" w:color="000000"/>
              </w:rPr>
              <w:t>имущества Фонда</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ind w:left="2"/>
              <w:rPr>
                <w:color w:val="000000"/>
              </w:rPr>
            </w:pPr>
            <w:r w:rsidRPr="00AC6698">
              <w:rPr>
                <w:color w:val="000000"/>
              </w:rPr>
              <w:t xml:space="preserve">Отсутствие признаков обесценения; </w:t>
            </w:r>
          </w:p>
          <w:p w:rsidR="00AC6698" w:rsidRPr="00AC6698" w:rsidRDefault="00AC6698" w:rsidP="0072342E">
            <w:pPr>
              <w:ind w:left="2"/>
              <w:rPr>
                <w:color w:val="000000"/>
              </w:rPr>
            </w:pPr>
            <w:r w:rsidRPr="00AC6698">
              <w:rPr>
                <w:color w:val="00000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72342E">
            <w:pPr>
              <w:ind w:right="65"/>
              <w:jc w:val="center"/>
              <w:rPr>
                <w:color w:val="000000"/>
              </w:rPr>
            </w:pPr>
            <w:r w:rsidRPr="00AC6698">
              <w:rPr>
                <w:color w:val="000000"/>
              </w:rPr>
              <w:t xml:space="preserve">3 рабочих дня </w:t>
            </w:r>
          </w:p>
        </w:tc>
      </w:tr>
      <w:tr w:rsidR="00AC6698" w:rsidRPr="00AC6698"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rPr>
                <w:color w:val="000000"/>
              </w:rPr>
            </w:pPr>
            <w:r w:rsidRPr="00AC6698">
              <w:rPr>
                <w:color w:val="00000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72342E">
            <w:pPr>
              <w:spacing w:after="160"/>
              <w:rPr>
                <w:color w:val="000000"/>
              </w:rPr>
            </w:pPr>
          </w:p>
        </w:tc>
      </w:tr>
    </w:tbl>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4A5053" w:rsidRDefault="004A5053" w:rsidP="001C2B7D">
      <w:pPr>
        <w:spacing w:after="215"/>
        <w:ind w:left="-5" w:hanging="10"/>
        <w:rPr>
          <w:color w:val="000000"/>
          <w:szCs w:val="22"/>
        </w:rPr>
      </w:pPr>
    </w:p>
    <w:p w:rsidR="004A5053" w:rsidRDefault="004A5053" w:rsidP="001C2B7D">
      <w:pPr>
        <w:spacing w:after="215"/>
        <w:ind w:left="-5" w:hanging="10"/>
        <w:rPr>
          <w:color w:val="000000"/>
          <w:szCs w:val="22"/>
        </w:rPr>
      </w:pPr>
    </w:p>
    <w:p w:rsidR="003113F2" w:rsidRDefault="004A5053" w:rsidP="0072342E">
      <w:pPr>
        <w:pStyle w:val="affb"/>
        <w:jc w:val="left"/>
        <w:rPr>
          <w:b w:val="0"/>
        </w:rPr>
        <w:sectPr w:rsidR="003113F2" w:rsidSect="00AC6698">
          <w:pgSz w:w="16838" w:h="11906" w:orient="landscape"/>
          <w:pgMar w:top="851" w:right="851" w:bottom="1758" w:left="1134" w:header="709" w:footer="709" w:gutter="0"/>
          <w:cols w:space="708"/>
          <w:docGrid w:linePitch="360"/>
        </w:sectPr>
      </w:pPr>
      <w:bookmarkStart w:id="49" w:name="приложение_5"/>
      <w:r>
        <w:rPr>
          <w:b w:val="0"/>
        </w:rPr>
        <w:t xml:space="preserve">  </w:t>
      </w:r>
      <w:r w:rsidR="000A0776">
        <w:rPr>
          <w:b w:val="0"/>
        </w:rPr>
        <w:t xml:space="preserve">                               </w:t>
      </w:r>
    </w:p>
    <w:p w:rsidR="004A5053" w:rsidRPr="004A5053" w:rsidRDefault="00544A99" w:rsidP="0072342E">
      <w:pPr>
        <w:pStyle w:val="affb"/>
        <w:jc w:val="left"/>
      </w:pPr>
      <w:r>
        <w:rPr>
          <w:b w:val="0"/>
        </w:rPr>
        <w:lastRenderedPageBreak/>
        <w:t xml:space="preserve">    </w:t>
      </w:r>
      <w:r>
        <w:rPr>
          <w:b w:val="0"/>
        </w:rPr>
        <w:tab/>
      </w:r>
      <w:r w:rsidR="004A5053">
        <w:rPr>
          <w:b w:val="0"/>
        </w:rPr>
        <w:t xml:space="preserve">                              </w:t>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bookmarkStart w:id="50" w:name="_Toc74043329"/>
      <w:r w:rsidR="004A5053" w:rsidRPr="004A5053">
        <w:t>Приложение 8</w:t>
      </w:r>
      <w:r w:rsidR="004A5053">
        <w:t xml:space="preserve"> </w:t>
      </w:r>
      <w:r w:rsidR="004A5053" w:rsidRPr="004A5053">
        <w:t>Метод приведенной стоимости будущих денежных потоков</w:t>
      </w:r>
      <w:bookmarkEnd w:id="50"/>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4" type="#_x0000_t75" style="width:12.35pt;height:19.55pt" o:ole="">
            <v:imagedata r:id="rId118" o:title=""/>
          </v:shape>
          <o:OLEObject Type="Embed" ProgID="Equation.3" ShapeID="_x0000_i1074" DrawAspect="Content" ObjectID="_1711543779" r:id="rId11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5" type="#_x0000_t75" style="width:16.45pt;height:19.55pt" o:ole="">
            <v:imagedata r:id="rId120" o:title=""/>
          </v:shape>
          <o:OLEObject Type="Embed" ProgID="Equation.3" ShapeID="_x0000_i1075" DrawAspect="Content" ObjectID="_1711543780" r:id="rId12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9"/>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Default="00513389" w:rsidP="001C2B7D">
      <w:pPr>
        <w:tabs>
          <w:tab w:val="left" w:pos="993"/>
        </w:tabs>
        <w:spacing w:before="120"/>
        <w:ind w:firstLine="567"/>
        <w:jc w:val="both"/>
        <w:rPr>
          <w:rFonts w:eastAsia="Batang"/>
          <w:color w:val="000000"/>
          <w:szCs w:val="24"/>
        </w:rPr>
      </w:pP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0"/>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532BF0"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532BF0"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1"/>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bookmarkStart w:id="51" w:name="_GoBack"/>
      <w:bookmarkEnd w:id="51"/>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6D" w:rsidRDefault="00CD166D" w:rsidP="003830AE">
      <w:r>
        <w:separator/>
      </w:r>
    </w:p>
  </w:endnote>
  <w:endnote w:type="continuationSeparator" w:id="0">
    <w:p w:rsidR="00CD166D" w:rsidRDefault="00CD166D"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7D" w:rsidRDefault="001C2B7D">
    <w:pPr>
      <w:pStyle w:val="af4"/>
      <w:jc w:val="right"/>
    </w:pPr>
    <w:r>
      <w:fldChar w:fldCharType="begin"/>
    </w:r>
    <w:r>
      <w:instrText>PAGE   \* MERGEFORMAT</w:instrText>
    </w:r>
    <w:r>
      <w:fldChar w:fldCharType="separate"/>
    </w:r>
    <w:r w:rsidR="00532BF0">
      <w:rPr>
        <w:noProof/>
      </w:rPr>
      <w:t>71</w:t>
    </w:r>
    <w:r>
      <w:fldChar w:fldCharType="end"/>
    </w:r>
  </w:p>
  <w:p w:rsidR="001C2B7D" w:rsidRDefault="001C2B7D">
    <w:pPr>
      <w:pStyle w:val="af4"/>
    </w:pPr>
  </w:p>
  <w:p w:rsidR="001C2B7D" w:rsidRDefault="001C2B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6D" w:rsidRDefault="00CD166D" w:rsidP="003830AE">
      <w:r>
        <w:separator/>
      </w:r>
    </w:p>
  </w:footnote>
  <w:footnote w:type="continuationSeparator" w:id="0">
    <w:p w:rsidR="00CD166D" w:rsidRDefault="00CD166D" w:rsidP="003830AE">
      <w:r>
        <w:continuationSeparator/>
      </w:r>
    </w:p>
  </w:footnote>
  <w:footnote w:id="1">
    <w:p w:rsidR="001C2B7D" w:rsidRDefault="001C2B7D"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1C2B7D" w:rsidRDefault="001C2B7D">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1C2B7D" w:rsidRPr="00934212" w:rsidRDefault="001C2B7D"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1C2B7D" w:rsidRDefault="001C2B7D"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1C2B7D" w:rsidRPr="00934212" w:rsidRDefault="001C2B7D"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1C2B7D" w:rsidRDefault="001C2B7D"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1C2B7D" w:rsidRPr="00BE449B" w:rsidRDefault="001C2B7D"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1C2B7D" w:rsidRPr="00FC2DDA" w:rsidRDefault="001C2B7D"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1C2B7D" w:rsidRPr="00FD4F9A" w:rsidRDefault="001C2B7D"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1C2B7D" w:rsidRPr="00404E0B" w:rsidRDefault="001C2B7D"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1C2B7D" w:rsidRPr="00404E0B" w:rsidRDefault="001C2B7D"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1C2B7D" w:rsidRPr="00E2653F" w:rsidRDefault="001C2B7D"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1C2B7D" w:rsidRPr="000C2205" w:rsidRDefault="001C2B7D"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1C2B7D" w:rsidRDefault="001C2B7D"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1C2B7D" w:rsidRDefault="001C2B7D"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4">
    <w:p w:rsidR="001C2B7D" w:rsidRPr="00BB1F30" w:rsidRDefault="001C2B7D"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5">
    <w:p w:rsidR="001C2B7D" w:rsidRPr="00EB4F7B" w:rsidRDefault="001C2B7D"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6">
    <w:p w:rsidR="001C2B7D" w:rsidRPr="001E2425" w:rsidRDefault="001C2B7D"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1C2B7D" w:rsidRPr="001E2425" w:rsidRDefault="001C2B7D"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7">
    <w:p w:rsidR="001C2B7D" w:rsidRDefault="001C2B7D" w:rsidP="007D0736">
      <w:pPr>
        <w:pStyle w:val="footnotedescription"/>
      </w:pPr>
      <w:r>
        <w:rPr>
          <w:rStyle w:val="footnotemark"/>
        </w:rPr>
        <w:footnoteRef/>
      </w:r>
      <w:r>
        <w:t xml:space="preserve"> Например, гостиницы, хостелы и т.п. </w:t>
      </w:r>
    </w:p>
  </w:footnote>
  <w:footnote w:id="18">
    <w:p w:rsidR="001C2B7D" w:rsidRDefault="001C2B7D"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1C2B7D" w:rsidRDefault="001C2B7D" w:rsidP="009F5BCD">
      <w:pPr>
        <w:pStyle w:val="footnotedescription"/>
        <w:spacing w:after="19"/>
      </w:pPr>
      <w:r>
        <w:t xml:space="preserve"> </w:t>
      </w:r>
    </w:p>
  </w:footnote>
  <w:footnote w:id="19">
    <w:p w:rsidR="001C2B7D" w:rsidRDefault="001C2B7D"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0">
    <w:p w:rsidR="001C2B7D" w:rsidRPr="00B14325" w:rsidRDefault="001C2B7D"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1">
    <w:p w:rsidR="001C2B7D" w:rsidRPr="00FE471A" w:rsidRDefault="001C2B7D"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 w:numId="233">
    <w:abstractNumId w:val="149"/>
  </w:num>
  <w:num w:numId="234">
    <w:abstractNumId w:val="149"/>
  </w:num>
  <w:num w:numId="235">
    <w:abstractNumId w:val="149"/>
  </w:num>
  <w:num w:numId="236">
    <w:abstractNumId w:val="14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43F5"/>
    <w:rsid w:val="00260669"/>
    <w:rsid w:val="0026178D"/>
    <w:rsid w:val="00262611"/>
    <w:rsid w:val="002636F7"/>
    <w:rsid w:val="00267CC5"/>
    <w:rsid w:val="002702DA"/>
    <w:rsid w:val="00270861"/>
    <w:rsid w:val="0027171C"/>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7466"/>
    <w:rsid w:val="009709E7"/>
    <w:rsid w:val="0097426C"/>
    <w:rsid w:val="00974803"/>
    <w:rsid w:val="00976BC2"/>
    <w:rsid w:val="00977BF4"/>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96FB4"/>
    <w:rsid w:val="00AA0159"/>
    <w:rsid w:val="00AA0EEB"/>
    <w:rsid w:val="00AA1A0E"/>
    <w:rsid w:val="00AA35E0"/>
    <w:rsid w:val="00AB232A"/>
    <w:rsid w:val="00AB247E"/>
    <w:rsid w:val="00AB4C83"/>
    <w:rsid w:val="00AB4E39"/>
    <w:rsid w:val="00AB6548"/>
    <w:rsid w:val="00AB7824"/>
    <w:rsid w:val="00AC46DC"/>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6261"/>
    <w:rsid w:val="00D412EB"/>
    <w:rsid w:val="00D425EE"/>
    <w:rsid w:val="00D44548"/>
    <w:rsid w:val="00D455FD"/>
    <w:rsid w:val="00D5553E"/>
    <w:rsid w:val="00D57BCC"/>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EE4DE6D0-A06B-407B-A363-52DC6FEE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e-disclosure.ru/"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121"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ru/index/RUCBITRBBB3Y/archive" TargetMode="External"/><Relationship Id="rId108" Type="http://schemas.openxmlformats.org/officeDocument/2006/relationships/hyperlink" Target="http://moex.com/ru/index/RUCBITRBB3Y/archive" TargetMode="External"/><Relationship Id="rId116" Type="http://schemas.openxmlformats.org/officeDocument/2006/relationships/hyperlink" Target="http://moex.com/ru/index/RUCBITRB3Y/archive/"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a2196" TargetMode="External"/><Relationship Id="rId114" Type="http://schemas.openxmlformats.org/officeDocument/2006/relationships/hyperlink" Target="http://moex.com/ru/index/RUCBITRB3Y/archive/" TargetMode="External"/><Relationship Id="rId119"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ratings.com/documents/20184/774196/2016+Annual+Global+Corporate+Default+Study+And+Rating+Transitions.pdf/2ddcf9dd-3b82-4151-9dab-8e3fc70a7035" TargetMode="External"/><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a219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kad.arbitr.ru/" TargetMode="External"/><Relationship Id="rId104" Type="http://schemas.openxmlformats.org/officeDocument/2006/relationships/hyperlink" Target="http://moex.com/ru/index/RUCBITRBBB3Y/archive" TargetMode="External"/><Relationship Id="rId120"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32A3-2133-41F2-B48E-67C6A57C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25405</Words>
  <Characters>144815</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169881</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3</cp:revision>
  <cp:lastPrinted>2021-06-09T10:26:00Z</cp:lastPrinted>
  <dcterms:created xsi:type="dcterms:W3CDTF">2022-04-15T12:54:00Z</dcterms:created>
  <dcterms:modified xsi:type="dcterms:W3CDTF">2022-04-15T12:55:00Z</dcterms:modified>
</cp:coreProperties>
</file>